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1440" w:lineRule="auto"/>
        <w:jc w:val="center"/>
        <w:rPr/>
      </w:pPr>
      <w:r w:rsidDel="00000000" w:rsidR="00000000" w:rsidRPr="00000000">
        <w:rPr>
          <w:rFonts w:ascii="Arial" w:cs="Arial" w:eastAsia="Arial" w:hAnsi="Arial"/>
          <w:b w:val="1"/>
          <w:bCs w:val="1"/>
          <w:color w:val="1f3864"/>
          <w:sz w:val="24"/>
          <w:szCs w:val="24"/>
          <w:rtl w:val="0"/>
        </w:rPr>
        <w:t xml:space="preserve">BASHKIMI EUROPIAN – NEGOCIATAT E ADERIMIT TË SHQIPËRISË</w:t>
      </w:r>
      <w:r w:rsidDel="00000000" w:rsidR="00000000" w:rsidRPr="00000000">
        <w:rPr>
          <w:rtl w:val="0"/>
        </w:rPr>
      </w:r>
    </w:p>
    <w:p w:rsidR="00000000" w:rsidDel="00000000" w:rsidP="00000000" w:rsidRDefault="00000000" w:rsidRPr="00000000" w14:paraId="00000002">
      <w:pPr>
        <w:spacing w:after="240" w:before="80" w:lineRule="auto"/>
        <w:jc w:val="center"/>
        <w:rPr/>
      </w:pPr>
      <w:r w:rsidDel="00000000" w:rsidR="00000000" w:rsidRPr="00000000">
        <w:rPr>
          <w:rFonts w:ascii="Arial" w:cs="Arial" w:eastAsia="Arial" w:hAnsi="Arial"/>
          <w:b w:val="1"/>
          <w:bCs w:val="1"/>
          <w:color w:val="2e75b6"/>
          <w:sz w:val="22"/>
          <w:szCs w:val="22"/>
          <w:rtl w:val="0"/>
        </w:rPr>
        <w:t xml:space="preserve">GRUPIKAPITULLI 1: </w:t>
      </w:r>
      <w:r w:rsidDel="00000000" w:rsidR="00000000" w:rsidRPr="00000000">
        <w:rPr>
          <w:b w:val="1"/>
          <w:bCs w:val="1"/>
          <w:color w:val="2e75b6"/>
          <w:sz w:val="22"/>
          <w:szCs w:val="22"/>
          <w:rtl w:val="0"/>
        </w:rPr>
        <w:t xml:space="preserve">THEMELORET</w:t>
      </w:r>
      <w:r w:rsidDel="00000000" w:rsidR="00000000" w:rsidRPr="00000000">
        <w:rPr>
          <w:rtl w:val="0"/>
        </w:rPr>
      </w:r>
    </w:p>
    <w:p w:rsidR="00000000" w:rsidDel="00000000" w:rsidP="00000000" w:rsidRDefault="00000000" w:rsidRPr="00000000" w14:paraId="00000003">
      <w:pPr>
        <w:spacing w:after="240" w:before="80" w:lineRule="auto"/>
        <w:jc w:val="center"/>
        <w:rPr/>
      </w:pPr>
      <w:r w:rsidDel="00000000" w:rsidR="00000000" w:rsidRPr="00000000">
        <w:rPr>
          <w:rFonts w:ascii="Arial" w:cs="Arial" w:eastAsia="Arial" w:hAnsi="Arial"/>
          <w:b w:val="0"/>
          <w:bCs w:val="0"/>
          <w:color w:val="aaaaaa"/>
          <w:sz w:val="20"/>
          <w:szCs w:val="20"/>
          <w:rtl w:val="0"/>
        </w:rPr>
        <w:t xml:space="preserve">────────────────────────────────────</w:t>
      </w:r>
      <w:r w:rsidDel="00000000" w:rsidR="00000000" w:rsidRPr="00000000">
        <w:rPr>
          <w:rtl w:val="0"/>
        </w:rPr>
      </w:r>
    </w:p>
    <w:p w:rsidR="00000000" w:rsidDel="00000000" w:rsidP="00000000" w:rsidRDefault="00000000" w:rsidRPr="00000000" w14:paraId="00000004">
      <w:pPr>
        <w:spacing w:after="80" w:before="80" w:lineRule="auto"/>
        <w:jc w:val="center"/>
        <w:rPr/>
      </w:pPr>
      <w:r w:rsidDel="00000000" w:rsidR="00000000" w:rsidRPr="00000000">
        <w:rPr>
          <w:rFonts w:ascii="Arial" w:cs="Arial" w:eastAsia="Arial" w:hAnsi="Arial"/>
          <w:b w:val="1"/>
          <w:bCs w:val="1"/>
          <w:color w:val="1f3864"/>
          <w:sz w:val="36"/>
          <w:szCs w:val="36"/>
          <w:rtl w:val="0"/>
        </w:rPr>
        <w:t xml:space="preserve">ANALIZË KRAHASUESE E</w:t>
      </w:r>
      <w:r w:rsidDel="00000000" w:rsidR="00000000" w:rsidRPr="00000000">
        <w:rPr>
          <w:rtl w:val="0"/>
        </w:rPr>
      </w:r>
    </w:p>
    <w:p w:rsidR="00000000" w:rsidDel="00000000" w:rsidP="00000000" w:rsidRDefault="00000000" w:rsidRPr="00000000" w14:paraId="00000005">
      <w:pPr>
        <w:spacing w:after="80" w:before="80" w:lineRule="auto"/>
        <w:jc w:val="center"/>
        <w:rPr/>
      </w:pPr>
      <w:r w:rsidDel="00000000" w:rsidR="00000000" w:rsidRPr="00000000">
        <w:rPr>
          <w:rFonts w:ascii="Arial" w:cs="Arial" w:eastAsia="Arial" w:hAnsi="Arial"/>
          <w:b w:val="1"/>
          <w:bCs w:val="1"/>
          <w:color w:val="1f3864"/>
          <w:sz w:val="32"/>
          <w:szCs w:val="32"/>
          <w:rtl w:val="0"/>
        </w:rPr>
        <w:t xml:space="preserve">DRAFT POZICIONIT TË PËRBASHKËT NDËRMJETËS</w:t>
      </w:r>
      <w:r w:rsidDel="00000000" w:rsidR="00000000" w:rsidRPr="00000000">
        <w:rPr>
          <w:rtl w:val="0"/>
        </w:rPr>
      </w:r>
    </w:p>
    <w:p w:rsidR="00000000" w:rsidDel="00000000" w:rsidP="00000000" w:rsidRDefault="00000000" w:rsidRPr="00000000" w14:paraId="00000006">
      <w:pPr>
        <w:spacing w:after="240" w:before="80" w:lineRule="auto"/>
        <w:jc w:val="center"/>
        <w:rPr/>
      </w:pPr>
      <w:r w:rsidDel="00000000" w:rsidR="00000000" w:rsidRPr="00000000">
        <w:rPr>
          <w:rFonts w:ascii="Arial" w:cs="Arial" w:eastAsia="Arial" w:hAnsi="Arial"/>
          <w:b w:val="0"/>
          <w:bCs w:val="0"/>
          <w:color w:val="aaaaaa"/>
          <w:sz w:val="20"/>
          <w:szCs w:val="20"/>
          <w:rtl w:val="0"/>
        </w:rPr>
        <w:t xml:space="preserve">────────────────────────────────────</w:t>
      </w:r>
      <w:r w:rsidDel="00000000" w:rsidR="00000000" w:rsidRPr="00000000">
        <w:rPr>
          <w:rtl w:val="0"/>
        </w:rPr>
      </w:r>
    </w:p>
    <w:p w:rsidR="00000000" w:rsidDel="00000000" w:rsidP="00000000" w:rsidRDefault="00000000" w:rsidRPr="00000000" w14:paraId="00000007">
      <w:pPr>
        <w:spacing w:after="40" w:before="80" w:lineRule="auto"/>
        <w:jc w:val="center"/>
        <w:rPr/>
      </w:pPr>
      <w:r w:rsidDel="00000000" w:rsidR="00000000" w:rsidRPr="00000000">
        <w:rPr>
          <w:rFonts w:ascii="Arial" w:cs="Arial" w:eastAsia="Arial" w:hAnsi="Arial"/>
          <w:b w:val="0"/>
          <w:bCs w:val="0"/>
          <w:color w:val="404040"/>
          <w:sz w:val="22"/>
          <w:szCs w:val="22"/>
          <w:rtl w:val="0"/>
        </w:rPr>
        <w:t xml:space="preserve">Draft i Komisionit (6819/26)</w:t>
      </w:r>
      <w:r w:rsidDel="00000000" w:rsidR="00000000" w:rsidRPr="00000000">
        <w:rPr>
          <w:rtl w:val="0"/>
        </w:rPr>
      </w:r>
    </w:p>
    <w:p w:rsidR="00000000" w:rsidDel="00000000" w:rsidP="00000000" w:rsidRDefault="00000000" w:rsidRPr="00000000" w14:paraId="00000008">
      <w:pPr>
        <w:spacing w:after="80" w:before="80" w:lineRule="auto"/>
        <w:jc w:val="center"/>
        <w:rPr/>
      </w:pPr>
      <w:r w:rsidDel="00000000" w:rsidR="00000000" w:rsidRPr="00000000">
        <w:rPr>
          <w:rFonts w:ascii="Arial" w:cs="Arial" w:eastAsia="Arial" w:hAnsi="Arial"/>
          <w:b w:val="1"/>
          <w:bCs w:val="1"/>
          <w:color w:val="1f3864"/>
          <w:sz w:val="22"/>
          <w:szCs w:val="22"/>
          <w:rtl w:val="0"/>
        </w:rPr>
        <w:t xml:space="preserve">26 Shkurt 2026</w:t>
      </w:r>
      <w:r w:rsidDel="00000000" w:rsidR="00000000" w:rsidRPr="00000000">
        <w:rPr>
          <w:rtl w:val="0"/>
        </w:rPr>
      </w:r>
    </w:p>
    <w:p w:rsidR="00000000" w:rsidDel="00000000" w:rsidP="00000000" w:rsidRDefault="00000000" w:rsidRPr="00000000" w14:paraId="00000009">
      <w:pPr>
        <w:spacing w:after="80" w:before="80" w:lineRule="auto"/>
        <w:jc w:val="center"/>
        <w:rPr/>
      </w:pPr>
      <w:r w:rsidDel="00000000" w:rsidR="00000000" w:rsidRPr="00000000">
        <w:rPr>
          <w:rFonts w:ascii="Arial" w:cs="Arial" w:eastAsia="Arial" w:hAnsi="Arial"/>
          <w:b w:val="1"/>
          <w:bCs w:val="1"/>
          <w:color w:val="888888"/>
          <w:sz w:val="26"/>
          <w:szCs w:val="26"/>
          <w:rtl w:val="0"/>
        </w:rPr>
        <w:t xml:space="preserve">kundrejt</w:t>
      </w:r>
      <w:r w:rsidDel="00000000" w:rsidR="00000000" w:rsidRPr="00000000">
        <w:rPr>
          <w:rtl w:val="0"/>
        </w:rPr>
      </w:r>
    </w:p>
    <w:p w:rsidR="00000000" w:rsidDel="00000000" w:rsidP="00000000" w:rsidRDefault="00000000" w:rsidRPr="00000000" w14:paraId="0000000A">
      <w:pPr>
        <w:spacing w:after="40" w:before="80" w:lineRule="auto"/>
        <w:jc w:val="center"/>
        <w:rPr/>
      </w:pPr>
      <w:r w:rsidDel="00000000" w:rsidR="00000000" w:rsidRPr="00000000">
        <w:rPr>
          <w:rFonts w:ascii="Arial" w:cs="Arial" w:eastAsia="Arial" w:hAnsi="Arial"/>
          <w:b w:val="0"/>
          <w:bCs w:val="0"/>
          <w:color w:val="404040"/>
          <w:sz w:val="22"/>
          <w:szCs w:val="22"/>
          <w:rtl w:val="0"/>
        </w:rPr>
        <w:t xml:space="preserve">Propozimi Kompromis i Presidencës (WK 4322/2026 REV 6)</w:t>
      </w:r>
      <w:r w:rsidDel="00000000" w:rsidR="00000000" w:rsidRPr="00000000">
        <w:rPr>
          <w:rtl w:val="0"/>
        </w:rPr>
      </w:r>
    </w:p>
    <w:p w:rsidR="00000000" w:rsidDel="00000000" w:rsidP="00000000" w:rsidRDefault="00000000" w:rsidRPr="00000000" w14:paraId="0000000B">
      <w:pPr>
        <w:spacing w:after="240" w:before="80" w:lineRule="auto"/>
        <w:jc w:val="center"/>
        <w:rPr/>
      </w:pPr>
      <w:r w:rsidDel="00000000" w:rsidR="00000000" w:rsidRPr="00000000">
        <w:rPr>
          <w:rFonts w:ascii="Arial" w:cs="Arial" w:eastAsia="Arial" w:hAnsi="Arial"/>
          <w:b w:val="1"/>
          <w:bCs w:val="1"/>
          <w:color w:val="1f3864"/>
          <w:sz w:val="22"/>
          <w:szCs w:val="22"/>
          <w:rtl w:val="0"/>
        </w:rPr>
        <w:t xml:space="preserve">21 Maj 2026</w:t>
      </w:r>
      <w:r w:rsidDel="00000000" w:rsidR="00000000" w:rsidRPr="00000000">
        <w:rPr>
          <w:rtl w:val="0"/>
        </w:rPr>
      </w:r>
    </w:p>
    <w:p w:rsidR="00000000" w:rsidDel="00000000" w:rsidP="00000000" w:rsidRDefault="00000000" w:rsidRPr="00000000" w14:paraId="0000000C">
      <w:pPr>
        <w:spacing w:after="240" w:before="80" w:lineRule="auto"/>
        <w:jc w:val="center"/>
        <w:rPr/>
      </w:pPr>
      <w:r w:rsidDel="00000000" w:rsidR="00000000" w:rsidRPr="00000000">
        <w:rPr>
          <w:rFonts w:ascii="Arial" w:cs="Arial" w:eastAsia="Arial" w:hAnsi="Arial"/>
          <w:b w:val="0"/>
          <w:bCs w:val="0"/>
          <w:color w:val="aaaaaa"/>
          <w:sz w:val="20"/>
          <w:szCs w:val="20"/>
          <w:rtl w:val="0"/>
        </w:rPr>
        <w:t xml:space="preserve">────────────────────────────────────</w:t>
      </w:r>
      <w:r w:rsidDel="00000000" w:rsidR="00000000" w:rsidRPr="00000000">
        <w:rPr>
          <w:rtl w:val="0"/>
        </w:rPr>
      </w:r>
    </w:p>
    <w:p w:rsidR="00000000" w:rsidDel="00000000" w:rsidP="00000000" w:rsidRDefault="00000000" w:rsidRPr="00000000" w14:paraId="0000000D">
      <w:pPr>
        <w:spacing w:after="80" w:before="40" w:lineRule="auto"/>
        <w:jc w:val="center"/>
        <w:rPr/>
      </w:pPr>
      <w:r w:rsidDel="00000000" w:rsidR="00000000" w:rsidRPr="00000000">
        <w:rPr>
          <w:rtl w:val="0"/>
        </w:rPr>
      </w:r>
    </w:p>
    <w:p w:rsidR="00000000" w:rsidDel="00000000" w:rsidP="00000000" w:rsidRDefault="00000000" w:rsidRPr="00000000" w14:paraId="0000000E">
      <w:pPr>
        <w:spacing w:after="80" w:before="80" w:lineRule="auto"/>
        <w:jc w:val="left"/>
        <w:rPr/>
      </w:pPr>
      <w:r w:rsidDel="00000000" w:rsidR="00000000" w:rsidRPr="00000000">
        <w:br w:type="page"/>
      </w:r>
      <w:r w:rsidDel="00000000" w:rsidR="00000000" w:rsidRPr="00000000">
        <w:rPr>
          <w:rtl w:val="0"/>
        </w:rPr>
      </w:r>
    </w:p>
    <w:p w:rsidR="00000000" w:rsidDel="00000000" w:rsidP="00000000" w:rsidRDefault="00000000" w:rsidRPr="00000000" w14:paraId="0000000F">
      <w:pPr>
        <w:pStyle w:val="Heading1"/>
        <w:spacing w:after="120" w:before="80" w:lineRule="auto"/>
        <w:jc w:val="left"/>
        <w:rPr/>
      </w:pPr>
      <w:r w:rsidDel="00000000" w:rsidR="00000000" w:rsidRPr="00000000">
        <w:rPr>
          <w:rFonts w:ascii="Arial" w:cs="Arial" w:eastAsia="Arial" w:hAnsi="Arial"/>
          <w:b w:val="1"/>
          <w:bCs w:val="1"/>
          <w:color w:val="1f3864"/>
          <w:sz w:val="26"/>
          <w:szCs w:val="26"/>
          <w:rtl w:val="0"/>
        </w:rPr>
        <w:t xml:space="preserve">PËRMBLEDHJE </w:t>
      </w:r>
      <w:r w:rsidDel="00000000" w:rsidR="00000000" w:rsidRPr="00000000">
        <w:rPr>
          <w:rtl w:val="0"/>
        </w:rPr>
      </w:r>
    </w:p>
    <w:p w:rsidR="00000000" w:rsidDel="00000000" w:rsidP="00000000" w:rsidRDefault="00000000" w:rsidRPr="00000000" w14:paraId="00000010">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Ky dokument ofron krahasim të plotë të dy versioneve të Pozicionit të Përbashkët Ndërmjetës të BE mbi negociatat e aderimit të Shqipërisë nën Grup</w:t>
      </w:r>
      <w:r w:rsidDel="00000000" w:rsidR="00000000" w:rsidRPr="00000000">
        <w:rPr>
          <w:rtl w:val="0"/>
        </w:rPr>
        <w:t xml:space="preserve">kapitullin</w:t>
      </w:r>
      <w:r w:rsidDel="00000000" w:rsidR="00000000" w:rsidRPr="00000000">
        <w:rPr>
          <w:rFonts w:ascii="Arial" w:cs="Arial" w:eastAsia="Arial" w:hAnsi="Arial"/>
          <w:b w:val="0"/>
          <w:bCs w:val="0"/>
          <w:color w:val="000000"/>
          <w:sz w:val="20"/>
          <w:szCs w:val="20"/>
          <w:rtl w:val="0"/>
        </w:rPr>
        <w:t xml:space="preserve"> 1 (</w:t>
      </w:r>
      <w:r w:rsidDel="00000000" w:rsidR="00000000" w:rsidRPr="00000000">
        <w:rPr>
          <w:rtl w:val="0"/>
        </w:rPr>
        <w:t xml:space="preserve">Themeloret</w:t>
      </w:r>
      <w:r w:rsidDel="00000000" w:rsidR="00000000" w:rsidRPr="00000000">
        <w:rPr>
          <w:rFonts w:ascii="Arial" w:cs="Arial" w:eastAsia="Arial" w:hAnsi="Arial"/>
          <w:b w:val="0"/>
          <w:bCs w:val="0"/>
          <w:color w:val="000000"/>
          <w:sz w:val="20"/>
          <w:szCs w:val="20"/>
          <w:rtl w:val="0"/>
        </w:rPr>
        <w:t xml:space="preserve">). Versioni i parë është Drafti i Komisionit (6819/26, 26 shkurt 2026). I dyti është propozimi kompromis i Presidencës (WK 4322/2026 REV 6, 21 maj 2026), i cili përfaqëson tekstin e negociuar ndërmjet Shteteve Anëtare të BE.</w:t>
      </w:r>
      <w:r w:rsidDel="00000000" w:rsidR="00000000" w:rsidRPr="00000000">
        <w:rPr>
          <w:rtl w:val="0"/>
        </w:rPr>
      </w:r>
    </w:p>
    <w:p w:rsidR="00000000" w:rsidDel="00000000" w:rsidP="00000000" w:rsidRDefault="00000000" w:rsidRPr="00000000" w14:paraId="00000011">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Analiza identifikon 32 ndryshime substanciale në 11 fusha tematike. Drejtimi i përgjithshëm i tekstit të majit 2026 është i qartë: ai është politikisht më i fortë, më kritik ndaj qeverisë shqiptare, më specifik në kërkesat e tij dhe më mbrojtës ndaj institucioneve dhe grupeve (SPAK, pakicat, gazetarët, qeverisja vendore) që BE i konsideron nën presion. Teksti i majit lëviz larg framing-ut 'progres-orientuar' të Komisionit dhe drejt dokumentit të fokusuar tek kushtëzimi.</w:t>
      </w:r>
      <w:r w:rsidDel="00000000" w:rsidR="00000000" w:rsidRPr="00000000">
        <w:rPr>
          <w:rtl w:val="0"/>
        </w:rPr>
      </w:r>
    </w:p>
    <w:p w:rsidR="00000000" w:rsidDel="00000000" w:rsidP="00000000" w:rsidRDefault="00000000" w:rsidRPr="00000000" w14:paraId="00000012">
      <w:pPr>
        <w:spacing w:after="40" w:before="80" w:lineRule="auto"/>
        <w:jc w:val="left"/>
        <w:rPr/>
      </w:pPr>
      <w:r w:rsidDel="00000000" w:rsidR="00000000" w:rsidRPr="00000000">
        <w:rPr>
          <w:rFonts w:ascii="Arial" w:cs="Arial" w:eastAsia="Arial" w:hAnsi="Arial"/>
          <w:b w:val="1"/>
          <w:bCs w:val="1"/>
          <w:color w:val="000000"/>
          <w:sz w:val="20"/>
          <w:szCs w:val="20"/>
          <w:rtl w:val="0"/>
        </w:rPr>
        <w:t xml:space="preserve">Ndryshimet politike kryesore në tekstin e majit 2026:</w:t>
      </w:r>
      <w:r w:rsidDel="00000000" w:rsidR="00000000" w:rsidRPr="00000000">
        <w:rPr>
          <w:rtl w:val="0"/>
        </w:rPr>
      </w:r>
    </w:p>
    <w:p w:rsidR="00000000" w:rsidDel="00000000" w:rsidP="00000000" w:rsidRDefault="00000000" w:rsidRPr="00000000" w14:paraId="00000013">
      <w:pPr>
        <w:spacing w:after="40" w:before="40" w:lineRule="auto"/>
        <w:jc w:val="left"/>
        <w:rPr/>
      </w:pPr>
      <w:r w:rsidDel="00000000" w:rsidR="00000000" w:rsidRPr="00000000">
        <w:rPr>
          <w:rFonts w:ascii="Arial" w:cs="Arial" w:eastAsia="Arial" w:hAnsi="Arial"/>
          <w:b w:val="0"/>
          <w:bCs w:val="0"/>
          <w:color w:val="000000"/>
          <w:sz w:val="20"/>
          <w:szCs w:val="20"/>
          <w:rtl w:val="0"/>
        </w:rPr>
        <w:t xml:space="preserve">(1) SPAK emërohet dhe mbrohet </w:t>
      </w:r>
      <w:r w:rsidDel="00000000" w:rsidR="00000000" w:rsidRPr="00000000">
        <w:rPr>
          <w:rtl w:val="0"/>
        </w:rPr>
        <w:t xml:space="preserve">në mënyrë eksplicite</w:t>
      </w:r>
      <w:r w:rsidDel="00000000" w:rsidR="00000000" w:rsidRPr="00000000">
        <w:rPr>
          <w:rFonts w:ascii="Arial" w:cs="Arial" w:eastAsia="Arial" w:hAnsi="Arial"/>
          <w:b w:val="0"/>
          <w:bCs w:val="0"/>
          <w:color w:val="000000"/>
          <w:sz w:val="20"/>
          <w:szCs w:val="20"/>
          <w:rtl w:val="0"/>
        </w:rPr>
        <w:t xml:space="preserve"> — sulmet politike karakterizohen si 'të shtuara dhe shqetësuese, duke përfshirë nivele të larta';</w:t>
      </w:r>
      <w:r w:rsidDel="00000000" w:rsidR="00000000" w:rsidRPr="00000000">
        <w:rPr>
          <w:rtl w:val="0"/>
        </w:rPr>
      </w:r>
    </w:p>
    <w:p w:rsidR="00000000" w:rsidDel="00000000" w:rsidP="00000000" w:rsidRDefault="00000000" w:rsidRPr="00000000" w14:paraId="00000014">
      <w:pPr>
        <w:spacing w:after="40" w:before="40" w:lineRule="auto"/>
        <w:jc w:val="left"/>
        <w:rPr/>
      </w:pPr>
      <w:r w:rsidDel="00000000" w:rsidR="00000000" w:rsidRPr="00000000">
        <w:rPr>
          <w:rFonts w:ascii="Arial" w:cs="Arial" w:eastAsia="Arial" w:hAnsi="Arial"/>
          <w:b w:val="0"/>
          <w:bCs w:val="0"/>
          <w:color w:val="000000"/>
          <w:sz w:val="20"/>
          <w:szCs w:val="20"/>
          <w:rtl w:val="0"/>
        </w:rPr>
        <w:t xml:space="preserve">(2) Korrupsioni përshkallëzohet nga 'shqetësim serioz' në 'shqetësim vendimtar (crucial)' — gjuhë afër vijës së kuqe;</w:t>
      </w:r>
      <w:r w:rsidDel="00000000" w:rsidR="00000000" w:rsidRPr="00000000">
        <w:rPr>
          <w:rtl w:val="0"/>
        </w:rPr>
      </w:r>
    </w:p>
    <w:p w:rsidR="00000000" w:rsidDel="00000000" w:rsidP="00000000" w:rsidRDefault="00000000" w:rsidRPr="00000000" w14:paraId="00000015">
      <w:pPr>
        <w:spacing w:after="40" w:before="40" w:lineRule="auto"/>
        <w:jc w:val="left"/>
        <w:rPr/>
      </w:pPr>
      <w:r w:rsidDel="00000000" w:rsidR="00000000" w:rsidRPr="00000000">
        <w:rPr>
          <w:rFonts w:ascii="Arial" w:cs="Arial" w:eastAsia="Arial" w:hAnsi="Arial"/>
          <w:b w:val="0"/>
          <w:bCs w:val="0"/>
          <w:color w:val="000000"/>
          <w:sz w:val="20"/>
          <w:szCs w:val="20"/>
          <w:rtl w:val="0"/>
        </w:rPr>
        <w:t xml:space="preserve">(3) Rrjetet e patronazhit emërohen për herë të parë si problem i qeverisjes zgjedhore;</w:t>
      </w:r>
      <w:r w:rsidDel="00000000" w:rsidR="00000000" w:rsidRPr="00000000">
        <w:rPr>
          <w:rtl w:val="0"/>
        </w:rPr>
      </w:r>
    </w:p>
    <w:p w:rsidR="00000000" w:rsidDel="00000000" w:rsidP="00000000" w:rsidRDefault="00000000" w:rsidRPr="00000000" w14:paraId="00000016">
      <w:pPr>
        <w:spacing w:after="40" w:before="40" w:lineRule="auto"/>
        <w:jc w:val="left"/>
        <w:rPr/>
      </w:pPr>
      <w:r w:rsidDel="00000000" w:rsidR="00000000" w:rsidRPr="00000000">
        <w:rPr>
          <w:rFonts w:ascii="Arial" w:cs="Arial" w:eastAsia="Arial" w:hAnsi="Arial"/>
          <w:b w:val="0"/>
          <w:bCs w:val="0"/>
          <w:color w:val="000000"/>
          <w:sz w:val="20"/>
          <w:szCs w:val="20"/>
          <w:rtl w:val="0"/>
        </w:rPr>
        <w:t xml:space="preserve">(4) Ndërhyrja parlamentare në hetimet aktive të SPAK adresohet specifikisht;</w:t>
      </w:r>
      <w:r w:rsidDel="00000000" w:rsidR="00000000" w:rsidRPr="00000000">
        <w:rPr>
          <w:rtl w:val="0"/>
        </w:rPr>
      </w:r>
    </w:p>
    <w:p w:rsidR="00000000" w:rsidDel="00000000" w:rsidP="00000000" w:rsidRDefault="00000000" w:rsidRPr="00000000" w14:paraId="00000017">
      <w:pPr>
        <w:spacing w:after="40" w:before="40" w:lineRule="auto"/>
        <w:jc w:val="left"/>
        <w:rPr/>
      </w:pPr>
      <w:r w:rsidDel="00000000" w:rsidR="00000000" w:rsidRPr="00000000">
        <w:rPr>
          <w:rFonts w:ascii="Arial" w:cs="Arial" w:eastAsia="Arial" w:hAnsi="Arial"/>
          <w:b w:val="0"/>
          <w:bCs w:val="0"/>
          <w:color w:val="000000"/>
          <w:sz w:val="20"/>
          <w:szCs w:val="20"/>
          <w:rtl w:val="0"/>
        </w:rPr>
        <w:t xml:space="preserve">(5) Zbatimi i vendimeve t</w:t>
      </w:r>
      <w:r w:rsidDel="00000000" w:rsidR="00000000" w:rsidRPr="00000000">
        <w:rPr>
          <w:rtl w:val="0"/>
        </w:rPr>
        <w:t xml:space="preserve">ë </w:t>
      </w:r>
      <w:r w:rsidDel="00000000" w:rsidR="00000000" w:rsidRPr="00000000">
        <w:rPr>
          <w:rFonts w:ascii="Arial" w:cs="Arial" w:eastAsia="Arial" w:hAnsi="Arial"/>
          <w:b w:val="0"/>
          <w:bCs w:val="0"/>
          <w:color w:val="000000"/>
          <w:sz w:val="20"/>
          <w:szCs w:val="20"/>
          <w:rtl w:val="0"/>
        </w:rPr>
        <w:t xml:space="preserve">Gjykatës Kushtetuese dhe standardet e imunitetit bazuar n</w:t>
      </w:r>
      <w:r w:rsidDel="00000000" w:rsidR="00000000" w:rsidRPr="00000000">
        <w:rPr>
          <w:rtl w:val="0"/>
        </w:rPr>
        <w:t xml:space="preserve">ë vendimet e</w:t>
      </w:r>
      <w:r w:rsidDel="00000000" w:rsidR="00000000" w:rsidRPr="00000000">
        <w:rPr>
          <w:rFonts w:ascii="Arial" w:cs="Arial" w:eastAsia="Arial" w:hAnsi="Arial"/>
          <w:b w:val="0"/>
          <w:bCs w:val="0"/>
          <w:color w:val="000000"/>
          <w:sz w:val="20"/>
          <w:szCs w:val="20"/>
          <w:rtl w:val="0"/>
        </w:rPr>
        <w:t xml:space="preserve"> Komisionit të Venecias ngrihen në nivel kushti mbyllës;</w:t>
      </w:r>
      <w:r w:rsidDel="00000000" w:rsidR="00000000" w:rsidRPr="00000000">
        <w:rPr>
          <w:rtl w:val="0"/>
        </w:rPr>
      </w:r>
    </w:p>
    <w:p w:rsidR="00000000" w:rsidDel="00000000" w:rsidP="00000000" w:rsidRDefault="00000000" w:rsidRPr="00000000" w14:paraId="00000018">
      <w:pPr>
        <w:spacing w:after="40" w:before="40" w:lineRule="auto"/>
        <w:jc w:val="left"/>
        <w:rPr/>
      </w:pPr>
      <w:r w:rsidDel="00000000" w:rsidR="00000000" w:rsidRPr="00000000">
        <w:rPr>
          <w:rFonts w:ascii="Arial" w:cs="Arial" w:eastAsia="Arial" w:hAnsi="Arial"/>
          <w:b w:val="0"/>
          <w:bCs w:val="0"/>
          <w:color w:val="000000"/>
          <w:sz w:val="20"/>
          <w:szCs w:val="20"/>
          <w:rtl w:val="0"/>
        </w:rPr>
        <w:t xml:space="preserve">(6) Abuzimi me pronën lidhet me zonat e pakicave dhe bregdetare; shpronësimet pa kompensim të drejtë emërohen;</w:t>
      </w:r>
      <w:r w:rsidDel="00000000" w:rsidR="00000000" w:rsidRPr="00000000">
        <w:rPr>
          <w:rtl w:val="0"/>
        </w:rPr>
      </w:r>
    </w:p>
    <w:p w:rsidR="00000000" w:rsidDel="00000000" w:rsidP="00000000" w:rsidRDefault="00000000" w:rsidRPr="00000000" w14:paraId="00000019">
      <w:pPr>
        <w:spacing w:after="40" w:before="40" w:lineRule="auto"/>
        <w:jc w:val="left"/>
        <w:rPr/>
      </w:pPr>
      <w:r w:rsidDel="00000000" w:rsidR="00000000" w:rsidRPr="00000000">
        <w:rPr>
          <w:rFonts w:ascii="Arial" w:cs="Arial" w:eastAsia="Arial" w:hAnsi="Arial"/>
          <w:b w:val="0"/>
          <w:bCs w:val="0"/>
          <w:color w:val="000000"/>
          <w:sz w:val="20"/>
          <w:szCs w:val="20"/>
          <w:rtl w:val="0"/>
        </w:rPr>
        <w:t xml:space="preserve">(7) Integriteti i policisë, autonomia vendore dhe transparenca e SOE bëhen kërkesa specifike të matshme;</w:t>
      </w:r>
      <w:r w:rsidDel="00000000" w:rsidR="00000000" w:rsidRPr="00000000">
        <w:rPr>
          <w:rtl w:val="0"/>
        </w:rPr>
      </w:r>
    </w:p>
    <w:p w:rsidR="00000000" w:rsidDel="00000000" w:rsidP="00000000" w:rsidRDefault="00000000" w:rsidRPr="00000000" w14:paraId="0000001A">
      <w:pPr>
        <w:spacing w:after="80" w:before="40" w:lineRule="auto"/>
        <w:jc w:val="left"/>
        <w:rPr/>
      </w:pPr>
      <w:r w:rsidDel="00000000" w:rsidR="00000000" w:rsidRPr="00000000">
        <w:rPr>
          <w:rFonts w:ascii="Arial" w:cs="Arial" w:eastAsia="Arial" w:hAnsi="Arial"/>
          <w:b w:val="0"/>
          <w:bCs w:val="0"/>
          <w:color w:val="000000"/>
          <w:sz w:val="20"/>
          <w:szCs w:val="20"/>
          <w:rtl w:val="0"/>
        </w:rPr>
        <w:t xml:space="preserve">(8) Benchmark e kritereve ekonomike zgjerohet nga një rresht i vetëm në kusht me shumë komponentë.</w:t>
      </w:r>
      <w:r w:rsidDel="00000000" w:rsidR="00000000" w:rsidRPr="00000000">
        <w:rPr>
          <w:rtl w:val="0"/>
        </w:rPr>
      </w:r>
    </w:p>
    <w:p w:rsidR="00000000" w:rsidDel="00000000" w:rsidP="00000000" w:rsidRDefault="00000000" w:rsidRPr="00000000" w14:paraId="0000001B">
      <w:pPr>
        <w:spacing w:after="80" w:before="80" w:lineRule="auto"/>
        <w:jc w:val="left"/>
        <w:rPr/>
        <w:sectPr>
          <w:pgSz w:h="16838" w:w="11906" w:orient="portrait"/>
          <w:pgMar w:bottom="1440" w:top="1440" w:left="1440" w:right="1440" w:header="708" w:footer="708"/>
          <w:pgNumType w:start="1"/>
        </w:sectPr>
      </w:pPr>
      <w:r w:rsidDel="00000000" w:rsidR="00000000" w:rsidRPr="00000000">
        <w:rPr>
          <w:rFonts w:ascii="Arial" w:cs="Arial" w:eastAsia="Arial" w:hAnsi="Arial"/>
          <w:b w:val="0"/>
          <w:bCs w:val="0"/>
          <w:color w:val="000000"/>
          <w:sz w:val="20"/>
          <w:szCs w:val="20"/>
          <w:rtl w:val="0"/>
        </w:rPr>
        <w:t xml:space="preserve">Matrica Krahasuese në faqet vijuese (format horizontal) identifikon secilin ndryshim sipas temës, jep referenca tekstuale të sakta me numra faqesh për të dy dokumentet, kategorizon ndryshimin si I SHTUAR, I FORCUAR ose I HEQUR, dhe përmbledh rëndësinë e tij politike.</w:t>
      </w:r>
      <w:r w:rsidDel="00000000" w:rsidR="00000000" w:rsidRPr="00000000">
        <w:rPr>
          <w:rtl w:val="0"/>
        </w:rPr>
      </w:r>
    </w:p>
    <w:p w:rsidR="00000000" w:rsidDel="00000000" w:rsidP="00000000" w:rsidRDefault="00000000" w:rsidRPr="00000000" w14:paraId="0000001C">
      <w:pPr>
        <w:pStyle w:val="Heading1"/>
        <w:spacing w:after="120" w:before="80" w:lineRule="auto"/>
        <w:jc w:val="left"/>
        <w:rPr/>
      </w:pPr>
      <w:r w:rsidDel="00000000" w:rsidR="00000000" w:rsidRPr="00000000">
        <w:rPr>
          <w:rFonts w:ascii="Arial" w:cs="Arial" w:eastAsia="Arial" w:hAnsi="Arial"/>
          <w:b w:val="1"/>
          <w:bCs w:val="1"/>
          <w:color w:val="1f3864"/>
          <w:sz w:val="26"/>
          <w:szCs w:val="26"/>
          <w:rtl w:val="0"/>
        </w:rPr>
        <w:t xml:space="preserve">MATRICË KRAHASUESE: 32 NDRYSHIME KRYESORE</w:t>
      </w:r>
      <w:r w:rsidDel="00000000" w:rsidR="00000000" w:rsidRPr="00000000">
        <w:rPr>
          <w:rtl w:val="0"/>
        </w:rPr>
      </w:r>
    </w:p>
    <w:p w:rsidR="00000000" w:rsidDel="00000000" w:rsidP="00000000" w:rsidRDefault="00000000" w:rsidRPr="00000000" w14:paraId="0000001D">
      <w:pPr>
        <w:spacing w:after="120" w:before="40" w:lineRule="auto"/>
        <w:jc w:val="left"/>
        <w:rPr/>
      </w:pPr>
      <w:r w:rsidDel="00000000" w:rsidR="00000000" w:rsidRPr="00000000">
        <w:rPr>
          <w:rFonts w:ascii="Arial" w:cs="Arial" w:eastAsia="Arial" w:hAnsi="Arial"/>
          <w:b w:val="0"/>
          <w:bCs w:val="0"/>
          <w:color w:val="000000"/>
          <w:sz w:val="18"/>
          <w:szCs w:val="18"/>
          <w:rtl w:val="0"/>
        </w:rPr>
        <w:t xml:space="preserve">Legjenda:   </w:t>
      </w:r>
      <w:r w:rsidDel="00000000" w:rsidR="00000000" w:rsidRPr="00000000">
        <w:rPr>
          <w:rFonts w:ascii="Arial" w:cs="Arial" w:eastAsia="Arial" w:hAnsi="Arial"/>
          <w:b w:val="1"/>
          <w:bCs w:val="1"/>
          <w:color w:val="375623"/>
          <w:sz w:val="18"/>
          <w:szCs w:val="18"/>
          <w:rtl w:val="0"/>
        </w:rPr>
        <w:t xml:space="preserve">■ I SHTUAR </w:t>
      </w:r>
      <w:r w:rsidDel="00000000" w:rsidR="00000000" w:rsidRPr="00000000">
        <w:rPr>
          <w:rFonts w:ascii="Arial" w:cs="Arial" w:eastAsia="Arial" w:hAnsi="Arial"/>
          <w:b w:val="0"/>
          <w:bCs w:val="0"/>
          <w:color w:val="000000"/>
          <w:sz w:val="18"/>
          <w:szCs w:val="18"/>
          <w:rtl w:val="0"/>
        </w:rPr>
        <w:t xml:space="preserve">— shtesë e re jo e pranishme në Shkurt 2026    </w:t>
      </w:r>
      <w:r w:rsidDel="00000000" w:rsidR="00000000" w:rsidRPr="00000000">
        <w:rPr>
          <w:rFonts w:ascii="Arial" w:cs="Arial" w:eastAsia="Arial" w:hAnsi="Arial"/>
          <w:b w:val="1"/>
          <w:bCs w:val="1"/>
          <w:color w:val="843c0c"/>
          <w:sz w:val="18"/>
          <w:szCs w:val="18"/>
          <w:rtl w:val="0"/>
        </w:rPr>
        <w:t xml:space="preserve">■ I FORCUAR </w:t>
      </w:r>
      <w:r w:rsidDel="00000000" w:rsidR="00000000" w:rsidRPr="00000000">
        <w:rPr>
          <w:rFonts w:ascii="Arial" w:cs="Arial" w:eastAsia="Arial" w:hAnsi="Arial"/>
          <w:b w:val="0"/>
          <w:bCs w:val="0"/>
          <w:color w:val="000000"/>
          <w:sz w:val="18"/>
          <w:szCs w:val="18"/>
          <w:rtl w:val="0"/>
        </w:rPr>
        <w:t xml:space="preserve">— gjuhë ekzistuese e intensifikuar    </w:t>
      </w:r>
      <w:r w:rsidDel="00000000" w:rsidR="00000000" w:rsidRPr="00000000">
        <w:rPr>
          <w:rFonts w:ascii="Arial" w:cs="Arial" w:eastAsia="Arial" w:hAnsi="Arial"/>
          <w:b w:val="1"/>
          <w:bCs w:val="1"/>
          <w:color w:val="9c0006"/>
          <w:sz w:val="18"/>
          <w:szCs w:val="18"/>
          <w:rtl w:val="0"/>
        </w:rPr>
        <w:t xml:space="preserve">■ I HEQUR </w:t>
      </w:r>
      <w:r w:rsidDel="00000000" w:rsidR="00000000" w:rsidRPr="00000000">
        <w:rPr>
          <w:rFonts w:ascii="Arial" w:cs="Arial" w:eastAsia="Arial" w:hAnsi="Arial"/>
          <w:b w:val="0"/>
          <w:bCs w:val="0"/>
          <w:color w:val="000000"/>
          <w:sz w:val="18"/>
          <w:szCs w:val="18"/>
          <w:rtl w:val="0"/>
        </w:rPr>
        <w:t xml:space="preserve">— përmbajtje e pranishme në Shkurt 2026 por e hequr në Maj</w:t>
      </w:r>
      <w:r w:rsidDel="00000000" w:rsidR="00000000" w:rsidRPr="00000000">
        <w:rPr>
          <w:rtl w:val="0"/>
        </w:rPr>
      </w:r>
    </w:p>
    <w:tbl>
      <w:tblPr>
        <w:tblStyle w:val="Table1"/>
        <w:tblW w:w="1453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
        <w:gridCol w:w="2050"/>
        <w:gridCol w:w="3980"/>
        <w:gridCol w:w="3980"/>
        <w:gridCol w:w="1144"/>
        <w:gridCol w:w="3000"/>
        <w:tblGridChange w:id="0">
          <w:tblGrid>
            <w:gridCol w:w="380"/>
            <w:gridCol w:w="2050"/>
            <w:gridCol w:w="3980"/>
            <w:gridCol w:w="3980"/>
            <w:gridCol w:w="1144"/>
            <w:gridCol w:w="3000"/>
          </w:tblGrid>
        </w:tblGridChange>
      </w:tblGrid>
      <w:tr>
        <w:trPr>
          <w:cantSplit w:val="0"/>
          <w:tblHeader w:val="1"/>
        </w:trPr>
        <w:tc>
          <w:tcPr>
            <w:tcBorders>
              <w:top w:color="1f3864" w:space="0" w:sz="4" w:val="single"/>
              <w:left w:color="1f3864" w:space="0" w:sz="4" w:val="single"/>
              <w:bottom w:color="1f3864" w:space="0" w:sz="4" w:val="single"/>
              <w:right w:color="1f3864" w:space="0" w:sz="4" w:val="single"/>
            </w:tcBorders>
            <w:shd w:fill="1f3864" w:val="clear"/>
            <w:tcMar>
              <w:top w:w="80.0" w:type="dxa"/>
              <w:left w:w="100.0" w:type="dxa"/>
              <w:bottom w:w="80.0" w:type="dxa"/>
              <w:right w:w="100.0" w:type="dxa"/>
            </w:tcMar>
          </w:tcPr>
          <w:p w:rsidR="00000000" w:rsidDel="00000000" w:rsidP="00000000" w:rsidRDefault="00000000" w:rsidRPr="00000000" w14:paraId="0000001E">
            <w:pPr>
              <w:spacing w:after="40" w:before="40" w:lineRule="auto"/>
              <w:jc w:val="center"/>
              <w:rPr/>
            </w:pPr>
            <w:r w:rsidDel="00000000" w:rsidR="00000000" w:rsidRPr="00000000">
              <w:rPr>
                <w:rFonts w:ascii="Arial" w:cs="Arial" w:eastAsia="Arial" w:hAnsi="Arial"/>
                <w:b w:val="1"/>
                <w:bCs w:val="1"/>
                <w:color w:val="ffffff"/>
                <w:sz w:val="18"/>
                <w:szCs w:val="18"/>
                <w:rtl w:val="0"/>
              </w:rPr>
              <w:t xml:space="preserve">#</w:t>
            </w:r>
            <w:r w:rsidDel="00000000" w:rsidR="00000000" w:rsidRPr="00000000">
              <w:rPr>
                <w:rtl w:val="0"/>
              </w:rPr>
            </w:r>
          </w:p>
        </w:tc>
        <w:tc>
          <w:tcPr>
            <w:tcBorders>
              <w:top w:color="1f3864" w:space="0" w:sz="4" w:val="single"/>
              <w:left w:color="1f3864" w:space="0" w:sz="4" w:val="single"/>
              <w:bottom w:color="1f3864" w:space="0" w:sz="4" w:val="single"/>
              <w:right w:color="1f3864" w:space="0" w:sz="4" w:val="single"/>
            </w:tcBorders>
            <w:shd w:fill="1f3864" w:val="clear"/>
            <w:tcMar>
              <w:top w:w="80.0" w:type="dxa"/>
              <w:left w:w="100.0" w:type="dxa"/>
              <w:bottom w:w="80.0" w:type="dxa"/>
              <w:right w:w="100.0" w:type="dxa"/>
            </w:tcMar>
          </w:tcPr>
          <w:p w:rsidR="00000000" w:rsidDel="00000000" w:rsidP="00000000" w:rsidRDefault="00000000" w:rsidRPr="00000000" w14:paraId="0000001F">
            <w:pPr>
              <w:spacing w:after="40" w:before="40" w:lineRule="auto"/>
              <w:jc w:val="center"/>
              <w:rPr/>
            </w:pPr>
            <w:r w:rsidDel="00000000" w:rsidR="00000000" w:rsidRPr="00000000">
              <w:rPr>
                <w:rFonts w:ascii="Arial" w:cs="Arial" w:eastAsia="Arial" w:hAnsi="Arial"/>
                <w:b w:val="1"/>
                <w:bCs w:val="1"/>
                <w:color w:val="ffffff"/>
                <w:sz w:val="18"/>
                <w:szCs w:val="18"/>
                <w:rtl w:val="0"/>
              </w:rPr>
              <w:t xml:space="preserve">Tema / Çështja</w:t>
            </w:r>
            <w:r w:rsidDel="00000000" w:rsidR="00000000" w:rsidRPr="00000000">
              <w:rPr>
                <w:rtl w:val="0"/>
              </w:rPr>
            </w:r>
          </w:p>
        </w:tc>
        <w:tc>
          <w:tcPr>
            <w:tcBorders>
              <w:top w:color="1f3864" w:space="0" w:sz="4" w:val="single"/>
              <w:left w:color="1f3864" w:space="0" w:sz="4" w:val="single"/>
              <w:bottom w:color="1f3864" w:space="0" w:sz="4" w:val="single"/>
              <w:right w:color="1f3864" w:space="0" w:sz="4" w:val="single"/>
            </w:tcBorders>
            <w:shd w:fill="1f3864" w:val="clear"/>
            <w:tcMar>
              <w:top w:w="80.0" w:type="dxa"/>
              <w:left w:w="100.0" w:type="dxa"/>
              <w:bottom w:w="80.0" w:type="dxa"/>
              <w:right w:w="100.0" w:type="dxa"/>
            </w:tcMar>
          </w:tcPr>
          <w:p w:rsidR="00000000" w:rsidDel="00000000" w:rsidP="00000000" w:rsidRDefault="00000000" w:rsidRPr="00000000" w14:paraId="00000020">
            <w:pPr>
              <w:spacing w:after="40" w:before="40" w:lineRule="auto"/>
              <w:jc w:val="center"/>
              <w:rPr/>
            </w:pPr>
            <w:r w:rsidDel="00000000" w:rsidR="00000000" w:rsidRPr="00000000">
              <w:rPr>
                <w:rFonts w:ascii="Arial" w:cs="Arial" w:eastAsia="Arial" w:hAnsi="Arial"/>
                <w:b w:val="1"/>
                <w:bCs w:val="1"/>
                <w:color w:val="ffffff"/>
                <w:sz w:val="18"/>
                <w:szCs w:val="18"/>
                <w:rtl w:val="0"/>
              </w:rPr>
              <w:t xml:space="preserve">IBAR Position – Shkurt 2026 (6819/26)</w:t>
            </w:r>
            <w:r w:rsidDel="00000000" w:rsidR="00000000" w:rsidRPr="00000000">
              <w:rPr>
                <w:rtl w:val="0"/>
              </w:rPr>
            </w:r>
          </w:p>
        </w:tc>
        <w:tc>
          <w:tcPr>
            <w:tcBorders>
              <w:top w:color="1f3864" w:space="0" w:sz="4" w:val="single"/>
              <w:left w:color="1f3864" w:space="0" w:sz="4" w:val="single"/>
              <w:bottom w:color="1f3864" w:space="0" w:sz="4" w:val="single"/>
              <w:right w:color="1f3864" w:space="0" w:sz="4" w:val="single"/>
            </w:tcBorders>
            <w:shd w:fill="1f3864" w:val="clear"/>
            <w:tcMar>
              <w:top w:w="80.0" w:type="dxa"/>
              <w:left w:w="100.0" w:type="dxa"/>
              <w:bottom w:w="80.0" w:type="dxa"/>
              <w:right w:w="100.0" w:type="dxa"/>
            </w:tcMar>
          </w:tcPr>
          <w:p w:rsidR="00000000" w:rsidDel="00000000" w:rsidP="00000000" w:rsidRDefault="00000000" w:rsidRPr="00000000" w14:paraId="00000021">
            <w:pPr>
              <w:spacing w:after="40" w:before="40" w:lineRule="auto"/>
              <w:jc w:val="center"/>
              <w:rPr/>
            </w:pPr>
            <w:r w:rsidDel="00000000" w:rsidR="00000000" w:rsidRPr="00000000">
              <w:rPr>
                <w:rFonts w:ascii="Arial" w:cs="Arial" w:eastAsia="Arial" w:hAnsi="Arial"/>
                <w:b w:val="1"/>
                <w:bCs w:val="1"/>
                <w:color w:val="ffffff"/>
                <w:sz w:val="18"/>
                <w:szCs w:val="18"/>
                <w:rtl w:val="0"/>
              </w:rPr>
              <w:t xml:space="preserve">IBAR – 21 Maj 2026 (WK 4322/2026 REV 6)</w:t>
            </w:r>
            <w:r w:rsidDel="00000000" w:rsidR="00000000" w:rsidRPr="00000000">
              <w:rPr>
                <w:rtl w:val="0"/>
              </w:rPr>
            </w:r>
          </w:p>
        </w:tc>
        <w:tc>
          <w:tcPr>
            <w:tcBorders>
              <w:top w:color="1f3864" w:space="0" w:sz="4" w:val="single"/>
              <w:left w:color="1f3864" w:space="0" w:sz="4" w:val="single"/>
              <w:bottom w:color="1f3864" w:space="0" w:sz="4" w:val="single"/>
              <w:right w:color="1f3864" w:space="0" w:sz="4" w:val="single"/>
            </w:tcBorders>
            <w:shd w:fill="1f3864" w:val="clear"/>
            <w:tcMar>
              <w:top w:w="80.0" w:type="dxa"/>
              <w:left w:w="100.0" w:type="dxa"/>
              <w:bottom w:w="80.0" w:type="dxa"/>
              <w:right w:w="100.0" w:type="dxa"/>
            </w:tcMar>
          </w:tcPr>
          <w:p w:rsidR="00000000" w:rsidDel="00000000" w:rsidP="00000000" w:rsidRDefault="00000000" w:rsidRPr="00000000" w14:paraId="00000022">
            <w:pPr>
              <w:spacing w:after="40" w:before="40" w:lineRule="auto"/>
              <w:jc w:val="center"/>
              <w:rPr/>
            </w:pPr>
            <w:r w:rsidDel="00000000" w:rsidR="00000000" w:rsidRPr="00000000">
              <w:rPr>
                <w:rFonts w:ascii="Arial" w:cs="Arial" w:eastAsia="Arial" w:hAnsi="Arial"/>
                <w:b w:val="1"/>
                <w:bCs w:val="1"/>
                <w:color w:val="ffffff"/>
                <w:sz w:val="18"/>
                <w:szCs w:val="18"/>
                <w:rtl w:val="0"/>
              </w:rPr>
              <w:t xml:space="preserve">Lloji</w:t>
            </w:r>
            <w:r w:rsidDel="00000000" w:rsidR="00000000" w:rsidRPr="00000000">
              <w:rPr>
                <w:rtl w:val="0"/>
              </w:rPr>
            </w:r>
          </w:p>
        </w:tc>
        <w:tc>
          <w:tcPr>
            <w:tcBorders>
              <w:top w:color="1f3864" w:space="0" w:sz="4" w:val="single"/>
              <w:left w:color="1f3864" w:space="0" w:sz="4" w:val="single"/>
              <w:bottom w:color="1f3864" w:space="0" w:sz="4" w:val="single"/>
              <w:right w:color="1f3864" w:space="0" w:sz="4" w:val="single"/>
            </w:tcBorders>
            <w:shd w:fill="1f3864" w:val="clear"/>
            <w:tcMar>
              <w:top w:w="80.0" w:type="dxa"/>
              <w:left w:w="100.0" w:type="dxa"/>
              <w:bottom w:w="80.0" w:type="dxa"/>
              <w:right w:w="100.0" w:type="dxa"/>
            </w:tcMar>
          </w:tcPr>
          <w:p w:rsidR="00000000" w:rsidDel="00000000" w:rsidP="00000000" w:rsidRDefault="00000000" w:rsidRPr="00000000" w14:paraId="00000023">
            <w:pPr>
              <w:spacing w:after="40" w:before="40" w:lineRule="auto"/>
              <w:jc w:val="center"/>
              <w:rPr/>
            </w:pPr>
            <w:r w:rsidDel="00000000" w:rsidR="00000000" w:rsidRPr="00000000">
              <w:rPr>
                <w:rFonts w:ascii="Arial" w:cs="Arial" w:eastAsia="Arial" w:hAnsi="Arial"/>
                <w:b w:val="1"/>
                <w:bCs w:val="1"/>
                <w:color w:val="ffffff"/>
                <w:sz w:val="18"/>
                <w:szCs w:val="18"/>
                <w:rtl w:val="0"/>
              </w:rPr>
              <w:t xml:space="preserve">Rëndësia Politike</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24">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I.  STRUKTURA E DOKUMENTIT</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2A">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2B">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Struktura e Dokumentit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2C">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Dy seksione: Hyrje (fq.3-5) me vlerësim progresi + Draft Pozicioni (fq.6-34).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2D">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Dokument i unifikuar që fillon direkt me Draft Pozicionin (fq.3+). Seksioni i Hyrjes hequr plotësisht.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e0e0" w:val="clear"/>
            <w:tcMar>
              <w:top w:w="80.0" w:type="dxa"/>
              <w:left w:w="80.0" w:type="dxa"/>
              <w:bottom w:w="80.0" w:type="dxa"/>
              <w:right w:w="80.0" w:type="dxa"/>
            </w:tcMar>
            <w:vAlign w:val="top"/>
          </w:tcPr>
          <w:p w:rsidR="00000000" w:rsidDel="00000000" w:rsidP="00000000" w:rsidRDefault="00000000" w:rsidRPr="00000000" w14:paraId="0000002E">
            <w:pPr>
              <w:spacing w:after="40" w:before="40" w:lineRule="auto"/>
              <w:jc w:val="center"/>
              <w:rPr/>
            </w:pPr>
            <w:r w:rsidDel="00000000" w:rsidR="00000000" w:rsidRPr="00000000">
              <w:rPr>
                <w:rFonts w:ascii="Arial" w:cs="Arial" w:eastAsia="Arial" w:hAnsi="Arial"/>
                <w:b w:val="1"/>
                <w:bCs w:val="1"/>
                <w:color w:val="9c0006"/>
                <w:sz w:val="17"/>
                <w:szCs w:val="17"/>
                <w:rtl w:val="0"/>
              </w:rPr>
              <w:t xml:space="preserve">I HEQUR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2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Sinjal diplomatik: versioni i majit eliminon narrativin e progresit dhe kalon direkt tek kërkesat dhe benchmarks.</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30">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II.  FUNKSIONIMI I INSTITUCIONEVE DEMOKRATIKE (FDI)</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36">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37">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Zgjedhjet Bashkiake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38">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Rekomandimet duhet të 'zbatohen efektivisht' — gjuhë e përgjithshme. (fq.7)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39">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Zbatimi kërkohet 'në kohë dhe efektivisht në prag të zgjedhjeve bashkiake të ardhshme'. (fq.4)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3A">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3B">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Krijon presion kohor eksplicit të lidhur me ciklin zgjedhor të ardhshëm.</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3C">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3D">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Luajtje e Barabartë / Rrjete Patronazhi</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3E">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3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'Shqipëria duhet të sigurojë luajtje të barabartë... duke marrë masa kundër keqpërdorimit të burimeve shtetërore dhe levës institucionale si dhe duke reduktuar ndikimin e rrjeteve të patronazhit.' (fq.4)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40">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4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Hera e parë që BE emëron rrjetet e patronazhit — kritikë e drejtpërdrejtë politike ndaj praktikave qeverisëse.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42">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43">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Koha e Konsultimit / Procesi Legjislativ</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44">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Thekson konsolidimin e rolit të parlamentit. (fq.7)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45">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Përafrimi me acquis 'kërkon një proces të plotë, me kohë të mjaftueshme për konsultime substanciale'. (fq.4-5)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46">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47">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Kritikë implicite ndaj legjislacionit të nxitur pa konsultim parlamentar adekuat.</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48">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III.  REFORMA E ADMINISTRATËS PUBLIKE (PAR)</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4E">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4F">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Komiteti Ndërpartiak për Reformën Territoriale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50">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(fq.8)</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5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'Vë në dukje krijimin e Komitetit Parlamentar Ndërpartiak kushtuar reformës territoriale.' (fq.5)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52">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53">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BE sinjalizon ndërgjegjësim dhe interes ndaj procesit të reformës territoriale.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54">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55">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Autonomia Vendore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56">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(fq.8-9)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57">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'Të ruajë ndarjen e përgjegjësive ndërmjet niveleve qendrore dhe vendore të qeverisjes, përfshirë autonominë e qeverisjes vendore.' (fq.6)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58">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59">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Pasqyron shqetësime mbi tendenca centralizimi; referim i rëndësishëm kushtetues.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5A">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5B">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Dialog Gjithëpërfshirës – Pakicat në PAR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5C">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Referencë e përgjithshme ndaj shoqërisë civile. (fq.8)</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5D">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Reformat e ardhshme duhet të realizohen nëpërmjet 'dialogut gjithëpërfshirës me të gjithë palët, si shoqëria civile dhe përfaqësues të pakicave kombëtare.' (fq.5)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5E">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5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Pakicat kombëtare shtohen si palë e detyrueshme interesi në reformat e PAR.</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60">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IV.  KAPITULLI 23 – GJYQËSORI</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66">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8</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67">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Strategjia e Drejtësisë 2024-2030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68">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referohet. (fq.10)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69">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'Të konsolidojë zbatimin e reformave nëpërmjet Strategjisë së rishikuar të Drejtësisë 2024-2030.' (fq.7)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6A">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6B">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Dokument specifik strategjik bëhet pikë reference e kushtëzimit për monitorim.</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6C">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6D">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SPAK &amp; Sulmet Politike të Nivelit të Lartë</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6E">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'Nxit Shqipërinë të adresojë efektivisht përpjekjet e zyrtarëve apo politikanëve për ushtrim ndikimi të padrejtë.' (fq.10)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6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'BE regreton dhe nxit... adresimin e përpjekjeve të shtuara dhe shqetësuese të zyrtarëve apo politikanëve, përfshirë nivele të larta... duke përfshirë Strukturën e Posaçme Kundër Korrupsionit dhe Krimit të Organizuar (SPAK).' (fq.7)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70">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7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Katër përshkallëzime: 'regreton' shtohet; 'të shtuara dhe shqetësuese'; 'nivele të larta'; SPAK emërohet eksplicit. Gjuha politikisht më e ashpër në dokument.</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72">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73">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Standardet e Vettingut – Qëndrueshmëria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74">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Thekson hapat drejt standardeve të vettingut. (fq.10)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75">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Shton: 'thekson nevojën për Shqipërinë të ruajë dhe mbajë ato standarde në mënyrë të qëndrueshme.' (fq.7)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76">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77">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Qëndrueshmëria e rezultateve të vettingut bëhet kërkesë eksplicite — përgjigje ndaj shqetësimeve mbi regres pas vettingut.</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78">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V.  KAPITULLI 23 – ANTI-KORRUPSIONI</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7E">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7F">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Ashpërsia: 'Crucial' vs 'Serious' Concern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80">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Korrupsioni 'mbetet fushë e shqetësimit serioz (serious concern).' (fq.12)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8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Korrupsioni 'mbetet fushë e shqetësimit vendimtar (crucial concern).' (fq.9)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82">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83">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'Crucial' sinjalizon status afër vijës së kuqe në gjuhën diplomatike të BE — përshkallëzim i rëndësishëm.</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84">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85">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Rezultatet e SPAK – Njohje Eksplicite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86">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Referencë e përgjithshme ndaj konsolidimit të kapaciteteve të SPAK. (fq.12)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87">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'BE mirëpret rezultatet e mira të arritura deri tani nga SPAK dhe gjykatat e tij, përfshirë rastet e korrupsionit të nivelit të lartë.' (fq.9)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88">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89">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Lavdërim publik eksplicit i SPAK krijon kontrast të qëllimshëm politik me kritikën ndaj ndërhyrjes qeveritare.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8A">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8B">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Parlamenti &amp; Prezumimi i Pafajësisë</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8C">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(fq.12)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8D">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Deklaratat publike të institucioneve shtetërore mbi hetimet ndaj zyrtarëve/deputetëve aktualë dhe të mëparshëm duhet të respektojnë prezumimin e pafajësisë. (fq.9)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8E">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8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Kritikë e drejtpërdrejtë implicite ndaj komentimit parlamentar që ndërhyn në hetimet e SPAK.</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90">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91">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Amnistia / Programet e Pajtueshmërisë Fiskale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92">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'Thekson rëndësinë që ndryshimet e ardhshme ligjore të jenë koherente me planet e vendit.' (fq.19)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93">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'Nxit Shqipërinë të sigurojë që ndryshimet e ardhshme ligjore të jenë plotësisht nxitëse ndaj planit të vendit për reduktimin konsistent të korrupsionit.' (fq.10)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94">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95">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'Nxit' zëvendëson 'thekson'; test stricter anti-korrupsioni i vendosur eksplicit.</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96">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VI.  KAPITULLI 23 – LIRIA E SHPREHJES DHE MEDIA</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9C">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9D">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Drejtiva Anti-SLAPP – Përafrim 'Shpejtë'</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9E">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'Kërkon përafrim të plotë me Direktivën Anti-SLAPP të BE.' (fq.14)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9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'Kërkon përafrim të plotë dhe të shpejtë me Direktivën Anti-SLAPP.' Shton: 'rëndësinë e ndjekjes së rekomandimeve Anti-SLAPP.' (fq.11)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A0">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A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'Shpejtë' shton urgjencë; kërkesa e re për follow-up forcoi llogaridhënien.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A2">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A3">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Siguria e Gazetarëve – Pika të Kontaktit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A4">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Masa të përgjithshme për sigurinë e gazetarëve. (fq.14)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A5">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Kërkon 'pika kontakti të caktuara brenda Policisë së Shtetit dhe brenda shërbimeve të prokurorisë' për zbatimin e masave të sigurisë. (fq.11)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A6">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A7">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Mekanizëm specifik llogaridhënieje: policia dhe prokuroria emërohen si organe përgjegjëse.</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A8">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VII.  KAPITULLI 23 – E DREJTA E PRONËS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AE">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AF">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Ndikim Disproporcional – Pakicat &amp; Zonat Bregdetare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B0">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(fq.16)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B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'Ndikim disproporcional në zonat ku banon numër i madh personash të pakicave kombëtare, në zonat me vlerë të lartë ekonomike dhe në zonat bregdetare.' (fq.13)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B2">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B3">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Lidh dështimet e regjistrimit të pronës me padrejtësinë ndaj pakicave dhe abuzimin e zhvillimit bregdetar.</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B4">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18</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B5">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Afati Q2 2027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B6">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Referon vetëm qëllimet ndërmjetëse 2026/2028. (fq.16)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B7">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Shton 'demonstrimin e progresit të prekshëm incremental deri në tremujorin e dytë të vitit 2027' për regjistrimin e parë. (fq.13)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B8">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B9">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Afat specifik ndërmjetës midis qëllimeve ekzistuese — monitorim më i rreptë.</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BA">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19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BB">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Shpronësimet – Kompensim i Drejtë</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BC">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(fq.16)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BD">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'Shpronësimet në emër të interesit publik shoqërohen me kompensime të drejta për pronarët e ligjshëm.' Kërkohet klasifikim i qartë i pronave. (fq.14)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BE">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B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Adresues i drejtpërdrejtë të abuzimit me shpronësimet — veçanërisht delikat në zona bregdetare.</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C0">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VIII.  KAPITULLI 23 – PAKICAT KOMBËTARE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C6">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C7">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Arsimi në Gjuhën e Pakicave – Pragu Popullsisë</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C8">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(fq.17)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C9">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'Qasja në arsimin në gjuhët e pakicave duhet garantuar pa parakushte shtesë ose interpretime tepër strikte të pragut të popullsisë.' (fq.14)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CA">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CB">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Adresues i mosmarrëveshjeve konkrete aktuale mbi kufijtë administrativë të arsimit të pakicave.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CC">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CD">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Të Drejtat e Pakicave &amp; Reformat Zgjedhore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CE">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(fq.17)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C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'I kërkon Shqipërisë të respektojë kuadrin ligjor... në kuadër të çdo reforme zgjedhore dhe administrative.' (fq.14)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D0">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D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Sinjalizon shqetësimin e BE se reformat e planifikuara mund të dëmtojnë të drejtat e pakicave.</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D2">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IX.  KAPITULLI 24 – DREJTËSIA, LIRIA DHE SIGURIA (JFS)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D8">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D9">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Integriteti i Policisë – Reforma e Detajuar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DA">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'Nevojiten përpjekje të mëtejshme për të adresuar çështjet e integritetit në polici.' (fq.18)</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DB">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Kërkon 'hapa vendimtarë dhe të qëndrueshëm', 'kontrolle të vazhdueshme dhe të plota nga Agjencia e Mbikëqyrjes së Policisë', adresim i 'numrit të lartë të rotacioneve' dhe emërime meritokratike. (fq.15)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DC">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DD">
            <w:pPr>
              <w:spacing w:after="40" w:before="40" w:lineRule="auto"/>
              <w:jc w:val="left"/>
              <w:rPr/>
            </w:pPr>
            <w:r w:rsidDel="00000000" w:rsidR="00000000" w:rsidRPr="00000000">
              <w:rPr>
                <w:rFonts w:ascii="Arial Unicode MS" w:cs="Arial Unicode MS" w:eastAsia="Arial Unicode MS" w:hAnsi="Arial Unicode MS"/>
                <w:b w:val="0"/>
                <w:bCs w:val="0"/>
                <w:color w:val="000000"/>
                <w:sz w:val="16"/>
                <w:szCs w:val="16"/>
                <w:rtl w:val="0"/>
              </w:rPr>
              <w:t xml:space="preserve">'Përpjekje të mëtejshme' → reforma specifike institucionale: Agjencia e Mbikëqyrjes, anti-rotacion, karriera meritokratike.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DE">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DF">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FATF / Ndryshimet e Ardhshme Ligjore Penale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E0">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'Thekson rëndësinë që ndryshimet e ardhshme ligjore të jenë koherente me planet.' (fq.19)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E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'Nxit Shqipërinë të sigurojë ndryshimet e ardhshme ligjore... duke avancuar luftën kundër krimit të organizuar.' (fq.16)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E2">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E3">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'Nxit' zëvendëson 'thekson'; bar i lartë: ndryshimet duhet të avancojnë aktivisht luftën kundër krimit.</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E4">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X.  KRITERET EKONOMIKE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EA">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EB">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Zbatimi i Kontratave &amp; Ndërmarrjet Shtetërore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EC">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'Siguri juridike e dobët' dhe 'informalitet i lartë ekonomik.' (fq.25)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ED">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Emëron specifikisht 'vështirësi me zbatimin e ligjit të kontratave, të drejtave të pronës... mangësi në transparencën dhe llogaridhënien e ndërmarrjeve shtetërore.' (fq.22)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0EE">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EF">
            <w:pPr>
              <w:spacing w:after="40" w:before="40" w:lineRule="auto"/>
              <w:jc w:val="left"/>
              <w:rPr/>
            </w:pPr>
            <w:r w:rsidDel="00000000" w:rsidR="00000000" w:rsidRPr="00000000">
              <w:rPr>
                <w:rFonts w:ascii="Arial Unicode MS" w:cs="Arial Unicode MS" w:eastAsia="Arial Unicode MS" w:hAnsi="Arial Unicode MS"/>
                <w:b w:val="0"/>
                <w:bCs w:val="0"/>
                <w:color w:val="000000"/>
                <w:sz w:val="16"/>
                <w:szCs w:val="16"/>
                <w:rtl w:val="0"/>
              </w:rPr>
              <w:t xml:space="preserve">Dobësi strukturore të përgjithshme → dështime specifike të emëruara: zbatimi i kontratave, transparenca e SOE.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F0">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F1">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Sektori i Ndërtimit &amp; Pasuria e Paluajtshme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F2">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Nuk përmendet. (fq.25)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F3">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'Shqipëria duhet të trajtojë çrregullimet ekzistuese në sektorët e pasurive të paluajtshme dhe industrisë së ndërtimit si pasojë e korrupsionit, titujve të paplotë të pronësisë, dobësive në kuadrin ligjor dhe transaksioneve jo-financiare.' (fq.22)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0F4">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0F5">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Paragraf krejtësisht i ri — lidh sektorin e ndërtimit drejtpërdrejt me korrupsionin dhe informalitetin.</w:t>
            </w:r>
            <w:r w:rsidDel="00000000" w:rsidR="00000000" w:rsidRPr="00000000">
              <w:rPr>
                <w:rtl w:val="0"/>
              </w:rPr>
            </w:r>
          </w:p>
        </w:tc>
      </w:tr>
      <w:tr>
        <w:trPr>
          <w:cantSplit w:val="0"/>
          <w:tblHeader w:val="0"/>
        </w:trPr>
        <w:tc>
          <w:tcPr>
            <w:gridSpan w:val="6"/>
            <w:tcBorders>
              <w:top w:color="cccccc" w:space="0" w:sz="4" w:val="single"/>
              <w:left w:color="cccccc" w:space="0" w:sz="4" w:val="single"/>
              <w:bottom w:color="cccccc" w:space="0" w:sz="4" w:val="single"/>
              <w:right w:color="cccccc" w:space="0" w:sz="4" w:val="single"/>
            </w:tcBorders>
            <w:shd w:fill="d6dce4" w:val="clear"/>
            <w:tcMar>
              <w:top w:w="60.0" w:type="dxa"/>
              <w:left w:w="120.0" w:type="dxa"/>
              <w:bottom w:w="60.0" w:type="dxa"/>
              <w:right w:w="120.0" w:type="dxa"/>
            </w:tcMar>
          </w:tcPr>
          <w:p w:rsidR="00000000" w:rsidDel="00000000" w:rsidP="00000000" w:rsidRDefault="00000000" w:rsidRPr="00000000" w14:paraId="000000F6">
            <w:pPr>
              <w:spacing w:after="40" w:before="40" w:lineRule="auto"/>
              <w:jc w:val="left"/>
              <w:rPr/>
            </w:pPr>
            <w:r w:rsidDel="00000000" w:rsidR="00000000" w:rsidRPr="00000000">
              <w:rPr>
                <w:rFonts w:ascii="Arial" w:cs="Arial" w:eastAsia="Arial" w:hAnsi="Arial"/>
                <w:b w:val="1"/>
                <w:bCs w:val="1"/>
                <w:color w:val="1f3864"/>
                <w:sz w:val="18"/>
                <w:szCs w:val="18"/>
                <w:rtl w:val="0"/>
              </w:rPr>
              <w:t xml:space="preserve">XI.  BENCHMARKS MBYLLËSE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FC">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FD">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Benchmark Horizontal – Transparenca e Monitorimit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FE">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'Dialog aktiv me shoqërinë civile.' (fq.26)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0FF">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'Monitorim i aksesueshëm nga publiku i Udhërrëfyesve' + 'dialog i plotë dhe gjithëpërfshirës me të gjithë palët e interesit.' (fq.23)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100">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0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Shton detyrim transparence publike; zgjeron 'shoqërinë civile' tek 'të gjitha palët'.</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02">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03">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Benchmark Horizontal – Zgjedhjet &amp; Mbikëqyrja Parlamentare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04">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Gjuhë e përgjithshme për institucione demokratike. (fq.26)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05">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Shton 'zgjedhjet, plotësisht në përputhje me rekomandimet OSCE/ODIHR' dhe 'llogaridhënia dhe efektiviteti duke përfshirë mbikëqyrjen dhe funksionet e tjera të Parlamentit.' (fq.23)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106">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07">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Pajtueshmëria me OSCE/ODIHR bëhet benchmark mbyllës eksplicit; funksionet e mbikëqyrjes parlamentare emërohen.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08">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28</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09">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Benchmark Kap.23 – Gjykata Kushtetuese &amp; Imuniteti</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0A">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'Përfaqësuesit e ekzekutivit dhe legjislativit të frenohen nga ndërhyrja e padrejtë.' (fq.27)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0B">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Shton: 'zbatimin e vendimeve të Gjykatës Kushtetuese dhe aplikimin e standardeve europiane, sidomos atyre të Komisionit të Venecias për vendimet mbi imunitetin.' (fq.24)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2efda" w:val="clear"/>
            <w:tcMar>
              <w:top w:w="80.0" w:type="dxa"/>
              <w:left w:w="80.0" w:type="dxa"/>
              <w:bottom w:w="80.0" w:type="dxa"/>
              <w:right w:w="80.0" w:type="dxa"/>
            </w:tcMar>
            <w:vAlign w:val="top"/>
          </w:tcPr>
          <w:p w:rsidR="00000000" w:rsidDel="00000000" w:rsidP="00000000" w:rsidRDefault="00000000" w:rsidRPr="00000000" w14:paraId="0000010C">
            <w:pPr>
              <w:spacing w:after="40" w:before="40" w:lineRule="auto"/>
              <w:jc w:val="center"/>
              <w:rPr/>
            </w:pPr>
            <w:r w:rsidDel="00000000" w:rsidR="00000000" w:rsidRPr="00000000">
              <w:rPr>
                <w:rFonts w:ascii="Arial" w:cs="Arial" w:eastAsia="Arial" w:hAnsi="Arial"/>
                <w:b w:val="1"/>
                <w:bCs w:val="1"/>
                <w:color w:val="375623"/>
                <w:sz w:val="17"/>
                <w:szCs w:val="17"/>
                <w:rtl w:val="0"/>
              </w:rPr>
              <w:t xml:space="preserve">I SHTUAR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0D">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Zbatimi i Gjykatës Kushtetuese dhe standardet e imunitetit të Komisionit të Venecias bëhen kushte formale mbyllëse.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0E">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29</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0F">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Benchmark Kap.23 – Referime Anti-Korrupsion te SPAK</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10">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'Sigurimin e referimit te prokuroria dhe ndjekja e duhur.' (fq.28)</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11">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'Sigurimin e track record të qëndrueshëm të referimeve proaktive dhe cilësore te prokuroria nga institucionet shtetërore, në veçanti te SPAK.' (fq.25-26)</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112">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13">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SPAK emërohet eksplicit si destinacion kryesor i referimeve në benchmark; shtohet 'track record i qëndrueshëm'.</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14">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30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15">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Benchmark Kap.23 – Zbatimi i Vendimeve Gjyqësore (Prona)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16">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'Zbaton vendime gjyqësore efektivisht.' (fq.30)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17">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'Zbatim efektiv dhe i menjëhershëm... vendimeve finale, duke njohur të drejtën e pronësisë së pronarit të mëparshëm, duke i dhënë fund situatave të gjata të mospërmbajtjes... vendimeve të GJEDNJ... procesit të rregullt në shpronësime.' (fq.27)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118">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19">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Vendimet e GJEDNJ shtohen; procesi i rregullt në shpronësime shtohet; 'moszbatim i zgjatur' identifikohet si dështim sistemik.</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1A">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31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1B">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Benchmark Kap.23 – Pakicat Kombëtare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1C">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'Zbatim i forcuar i legjislacionit dytësor mbi pakicat kombëtare.' (fq.30)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1D">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'Zbatim i plotë dhe efektiv i Ligjit për Mbrojtjen e Pakicave Kombëtare dhe të gjithë legjislacionit të tij dytësor.' (fq.27)</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11E">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edf2fa" w:val="clear"/>
            <w:tcMar>
              <w:top w:w="80.0" w:type="dxa"/>
              <w:left w:w="100.0" w:type="dxa"/>
              <w:bottom w:w="80.0" w:type="dxa"/>
              <w:right w:w="100.0" w:type="dxa"/>
            </w:tcMar>
            <w:vAlign w:val="top"/>
          </w:tcPr>
          <w:p w:rsidR="00000000" w:rsidDel="00000000" w:rsidP="00000000" w:rsidRDefault="00000000" w:rsidRPr="00000000" w14:paraId="0000011F">
            <w:pPr>
              <w:spacing w:after="40" w:before="40" w:lineRule="auto"/>
              <w:jc w:val="left"/>
              <w:rPr/>
            </w:pPr>
            <w:r w:rsidDel="00000000" w:rsidR="00000000" w:rsidRPr="00000000">
              <w:rPr>
                <w:rFonts w:ascii="Arial Unicode MS" w:cs="Arial Unicode MS" w:eastAsia="Arial Unicode MS" w:hAnsi="Arial Unicode MS"/>
                <w:b w:val="0"/>
                <w:bCs w:val="0"/>
                <w:color w:val="000000"/>
                <w:sz w:val="16"/>
                <w:szCs w:val="16"/>
                <w:rtl w:val="0"/>
              </w:rPr>
              <w:t xml:space="preserve">'I forcuar' → 'i plotë dhe efektiv'; ligji specifik (96/2017) emërohet — gjuhë ligjërisht më e saktë dhe e rreptë.</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20">
            <w:pPr>
              <w:spacing w:after="40" w:before="40" w:lineRule="auto"/>
              <w:jc w:val="center"/>
              <w:rPr/>
            </w:pPr>
            <w:r w:rsidDel="00000000" w:rsidR="00000000" w:rsidRPr="00000000">
              <w:rPr>
                <w:rFonts w:ascii="Arial" w:cs="Arial" w:eastAsia="Arial" w:hAnsi="Arial"/>
                <w:b w:val="1"/>
                <w:bCs w:val="1"/>
                <w:color w:val="000000"/>
                <w:sz w:val="17"/>
                <w:szCs w:val="17"/>
                <w:rtl w:val="0"/>
              </w:rPr>
              <w:t xml:space="preserve">32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21">
            <w:pPr>
              <w:spacing w:after="40" w:before="40" w:lineRule="auto"/>
              <w:jc w:val="left"/>
              <w:rPr/>
            </w:pPr>
            <w:r w:rsidDel="00000000" w:rsidR="00000000" w:rsidRPr="00000000">
              <w:rPr>
                <w:rFonts w:ascii="Arial" w:cs="Arial" w:eastAsia="Arial" w:hAnsi="Arial"/>
                <w:b w:val="1"/>
                <w:bCs w:val="1"/>
                <w:color w:val="000000"/>
                <w:sz w:val="17"/>
                <w:szCs w:val="17"/>
                <w:rtl w:val="0"/>
              </w:rPr>
              <w:t xml:space="preserve">Benchmark Kriteret Ekonomike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22">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'Shqipëria plotëson kriterin e qenies ekonomi tregu funksionale.' (një rresht, fq.34)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23">
            <w:pPr>
              <w:spacing w:after="40" w:before="40" w:lineRule="auto"/>
              <w:jc w:val="left"/>
              <w:rPr/>
            </w:pPr>
            <w:r w:rsidDel="00000000" w:rsidR="00000000" w:rsidRPr="00000000">
              <w:rPr>
                <w:rFonts w:ascii="Arial" w:cs="Arial" w:eastAsia="Arial" w:hAnsi="Arial"/>
                <w:b w:val="0"/>
                <w:bCs w:val="0"/>
                <w:color w:val="000000"/>
                <w:sz w:val="16"/>
                <w:szCs w:val="16"/>
                <w:rtl w:val="0"/>
              </w:rPr>
              <w:t xml:space="preserve">Shton: 'mjedis biznesi të qëndrueshëm me konkurrencë të ndershme... transparencë dhe llogaridhënie të ndërmarrjeve shtetërore, informalitet të reduktuar dhe kuadër fiskal të parashikueshëm...' (fq.31)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ce4d6" w:val="clear"/>
            <w:tcMar>
              <w:top w:w="80.0" w:type="dxa"/>
              <w:left w:w="80.0" w:type="dxa"/>
              <w:bottom w:w="80.0" w:type="dxa"/>
              <w:right w:w="80.0" w:type="dxa"/>
            </w:tcMar>
            <w:vAlign w:val="top"/>
          </w:tcPr>
          <w:p w:rsidR="00000000" w:rsidDel="00000000" w:rsidP="00000000" w:rsidRDefault="00000000" w:rsidRPr="00000000" w14:paraId="00000124">
            <w:pPr>
              <w:spacing w:after="40" w:before="40" w:lineRule="auto"/>
              <w:jc w:val="center"/>
              <w:rPr/>
            </w:pPr>
            <w:r w:rsidDel="00000000" w:rsidR="00000000" w:rsidRPr="00000000">
              <w:rPr>
                <w:rFonts w:ascii="Arial" w:cs="Arial" w:eastAsia="Arial" w:hAnsi="Arial"/>
                <w:b w:val="1"/>
                <w:bCs w:val="1"/>
                <w:color w:val="843c0c"/>
                <w:sz w:val="17"/>
                <w:szCs w:val="17"/>
                <w:rtl w:val="0"/>
              </w:rPr>
              <w:t xml:space="preserve">I FORCUAR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00.0" w:type="dxa"/>
              <w:bottom w:w="80.0" w:type="dxa"/>
              <w:right w:w="100.0" w:type="dxa"/>
            </w:tcMar>
            <w:vAlign w:val="top"/>
          </w:tcPr>
          <w:p w:rsidR="00000000" w:rsidDel="00000000" w:rsidP="00000000" w:rsidRDefault="00000000" w:rsidRPr="00000000" w14:paraId="00000125">
            <w:pPr>
              <w:spacing w:after="40" w:before="40" w:lineRule="auto"/>
              <w:jc w:val="left"/>
              <w:rPr/>
            </w:pPr>
            <w:r w:rsidDel="00000000" w:rsidR="00000000" w:rsidRPr="00000000">
              <w:rPr>
                <w:rFonts w:ascii="Arial Unicode MS" w:cs="Arial Unicode MS" w:eastAsia="Arial Unicode MS" w:hAnsi="Arial Unicode MS"/>
                <w:b w:val="0"/>
                <w:bCs w:val="0"/>
                <w:color w:val="000000"/>
                <w:sz w:val="16"/>
                <w:szCs w:val="16"/>
                <w:rtl w:val="0"/>
              </w:rPr>
              <w:t xml:space="preserve">Benchmark me një rresht → benchmark me shumë kushte: konkurrencë e ndershme, SOE transparent, informalitet i ulur, pajtueshmëri fiskale.</w:t>
            </w:r>
            <w:r w:rsidDel="00000000" w:rsidR="00000000" w:rsidRPr="00000000">
              <w:rPr>
                <w:rtl w:val="0"/>
              </w:rPr>
            </w:r>
          </w:p>
        </w:tc>
      </w:tr>
    </w:tbl>
    <w:p w:rsidR="00000000" w:rsidDel="00000000" w:rsidP="00000000" w:rsidRDefault="00000000" w:rsidRPr="00000000" w14:paraId="00000126">
      <w:pPr>
        <w:rPr/>
        <w:sectPr>
          <w:type w:val="nextPage"/>
          <w:pgSz w:h="11906" w:w="16838" w:orient="landscape"/>
          <w:pgMar w:bottom="1152" w:top="1152" w:left="1152" w:right="1152" w:header="708" w:footer="708"/>
        </w:sectPr>
      </w:pPr>
      <w:r w:rsidDel="00000000" w:rsidR="00000000" w:rsidRPr="00000000">
        <w:rPr>
          <w:rtl w:val="0"/>
        </w:rPr>
      </w:r>
    </w:p>
    <w:p w:rsidR="00000000" w:rsidDel="00000000" w:rsidP="00000000" w:rsidRDefault="00000000" w:rsidRPr="00000000" w14:paraId="00000127">
      <w:pPr>
        <w:pStyle w:val="Heading1"/>
        <w:pageBreakBefore w:val="1"/>
        <w:spacing w:after="120" w:before="240" w:lineRule="auto"/>
        <w:jc w:val="left"/>
        <w:rPr/>
      </w:pPr>
      <w:r w:rsidDel="00000000" w:rsidR="00000000" w:rsidRPr="00000000">
        <w:rPr>
          <w:rFonts w:ascii="Arial" w:cs="Arial" w:eastAsia="Arial" w:hAnsi="Arial"/>
          <w:b w:val="1"/>
          <w:bCs w:val="1"/>
          <w:color w:val="1f3864"/>
          <w:sz w:val="26"/>
          <w:szCs w:val="26"/>
          <w:rtl w:val="0"/>
        </w:rPr>
        <w:t xml:space="preserve">ANALIZË E DETAJUAR E NDRYSHIMEVE</w:t>
      </w:r>
      <w:r w:rsidDel="00000000" w:rsidR="00000000" w:rsidRPr="00000000">
        <w:rPr>
          <w:rtl w:val="0"/>
        </w:rPr>
      </w:r>
    </w:p>
    <w:p w:rsidR="00000000" w:rsidDel="00000000" w:rsidP="00000000" w:rsidRDefault="00000000" w:rsidRPr="00000000" w14:paraId="00000128">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Ky seksion analizon ndryshimet substanciale ndërmjet Draft Pozicionit të Komisionit (6819/26, 26 shkurt 2026) dhe propozimit kompromis të Presidencës (WK 4322/2026 REV 6, 21 maj 2026), seksion pas seksioni. Referencat e faqeve jepen në kllapa për secilin dokument.</w:t>
      </w:r>
      <w:r w:rsidDel="00000000" w:rsidR="00000000" w:rsidRPr="00000000">
        <w:rPr>
          <w:rtl w:val="0"/>
        </w:rPr>
      </w:r>
    </w:p>
    <w:p w:rsidR="00000000" w:rsidDel="00000000" w:rsidP="00000000" w:rsidRDefault="00000000" w:rsidRPr="00000000" w14:paraId="00000129">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1. Struktura e Dokumentit</w:t>
      </w:r>
      <w:r w:rsidDel="00000000" w:rsidR="00000000" w:rsidRPr="00000000">
        <w:rPr>
          <w:rtl w:val="0"/>
        </w:rPr>
      </w:r>
    </w:p>
    <w:p w:rsidR="00000000" w:rsidDel="00000000" w:rsidP="00000000" w:rsidRDefault="00000000" w:rsidRPr="00000000" w14:paraId="0000012A">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Drafti i shkurtit (fq.1-5) hapet me Seksionin I – Hyrje që ofron vlerësimin e Komisionit mbi progresin e Shqipërisë në Kapitujt 23 dhe 24, duke paraqitur bazën për pozicionin draft. Ky seksion — që përmbante framing relativisht pozitiv mbi pajtueshmërinë e përgjithshme me benchmarks ndërmjetëse — mungon plotësisht nga teksti i majit. Versioni i majit fillon direkt me Draft Pozicionin e Përbashkët të BE, duke eliminuar narrativin e progresit dhe duke u fokusuar ekskluzivisht tek kërkesat e papërmbushura. Ky ndryshim strukturor është vet ai një deklaratë politike.</w:t>
      </w:r>
      <w:r w:rsidDel="00000000" w:rsidR="00000000" w:rsidRPr="00000000">
        <w:rPr>
          <w:rtl w:val="0"/>
        </w:rPr>
      </w:r>
    </w:p>
    <w:p w:rsidR="00000000" w:rsidDel="00000000" w:rsidP="00000000" w:rsidRDefault="00000000" w:rsidRPr="00000000" w14:paraId="0000012B">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2. Funksionimi i Institucioneve Demokratike (FDI)</w:t>
      </w:r>
      <w:r w:rsidDel="00000000" w:rsidR="00000000" w:rsidRPr="00000000">
        <w:rPr>
          <w:rtl w:val="0"/>
        </w:rPr>
      </w:r>
    </w:p>
    <w:p w:rsidR="00000000" w:rsidDel="00000000" w:rsidP="00000000" w:rsidRDefault="00000000" w:rsidRPr="00000000" w14:paraId="0000012C">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Drafti i shkurtit (fq.7) kërkon zbatimin e rekomandimeve zgjedhore në mënyrë gjenerike. Teksti i majit (fq.4) e sharpon këtë ndjeshëm duke e lidhur zbatimin me 'zgjedhjet bashkiake të ardhshme', duke krijuar presion kohor politik eksplicit. Më rëndësi, versioni i majit prezanton dy koncepte krejtësisht të reja: kërkon 'luajtje të barabartë' dhe merr masa kundër 'rrjeteve të patronazhit' — termat e fundit janë politikisht të ngarkuara dhe përfaqësojnë herën e parë që BE emëron këtë problem strukturor brenda kuadrit të aderimit.</w:t>
      </w:r>
      <w:r w:rsidDel="00000000" w:rsidR="00000000" w:rsidRPr="00000000">
        <w:rPr>
          <w:rtl w:val="0"/>
        </w:rPr>
      </w:r>
    </w:p>
    <w:p w:rsidR="00000000" w:rsidDel="00000000" w:rsidP="00000000" w:rsidRDefault="00000000" w:rsidRPr="00000000" w14:paraId="0000012D">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Mbi funksionin parlamentar, versioni i majit (fq.4-5) shton se përafrimi me acquis 'kërkon proces të plotë, me kohë të mjaftueshme për konsultime substanciale' — kritikë implicite ndaj legjislacionit të nxitur pa konsultim adekuat.</w:t>
      </w:r>
      <w:r w:rsidDel="00000000" w:rsidR="00000000" w:rsidRPr="00000000">
        <w:rPr>
          <w:rtl w:val="0"/>
        </w:rPr>
      </w:r>
    </w:p>
    <w:p w:rsidR="00000000" w:rsidDel="00000000" w:rsidP="00000000" w:rsidRDefault="00000000" w:rsidRPr="00000000" w14:paraId="0000012E">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3. Reforma e Administratës Publike (PAR)</w:t>
      </w:r>
      <w:r w:rsidDel="00000000" w:rsidR="00000000" w:rsidRPr="00000000">
        <w:rPr>
          <w:rtl w:val="0"/>
        </w:rPr>
      </w:r>
    </w:p>
    <w:p w:rsidR="00000000" w:rsidDel="00000000" w:rsidP="00000000" w:rsidRDefault="00000000" w:rsidRPr="00000000" w14:paraId="0000012F">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Tre shtime dallojnë tekstin e majit: (1) Shton Komisionin Parlamentar Ndërpartiak për Reformën Territoriale (fq.5) — entitet i ri politik i regjistruar; (2) kërkon 'ruajtjen e ndarjes së përgjegjësive ndërmjet niveleve qendrore dhe vendore, përfshirë autonominë e qeverisjes vendore' (fq.6) — referim kushtetues sinjalizues i shqetësimeve ndaj centralizimit; (3) kërkon dialog 'gjithëpërfshirës me të gjithë palët, si shoqëria civile dhe përfaqësuesit e pakicave kombëtare' (fq.5) — pakicat shtohen si palë e detyrueshme interesi.</w:t>
      </w:r>
      <w:r w:rsidDel="00000000" w:rsidR="00000000" w:rsidRPr="00000000">
        <w:rPr>
          <w:rtl w:val="0"/>
        </w:rPr>
      </w:r>
    </w:p>
    <w:p w:rsidR="00000000" w:rsidDel="00000000" w:rsidP="00000000" w:rsidRDefault="00000000" w:rsidRPr="00000000" w14:paraId="00000130">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4. Kapitulli 23 – Gjyqësori</w:t>
      </w:r>
      <w:r w:rsidDel="00000000" w:rsidR="00000000" w:rsidRPr="00000000">
        <w:rPr>
          <w:rtl w:val="0"/>
        </w:rPr>
      </w:r>
    </w:p>
    <w:p w:rsidR="00000000" w:rsidDel="00000000" w:rsidP="00000000" w:rsidRDefault="00000000" w:rsidRPr="00000000" w14:paraId="00000131">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Teksti i majit (fq.7) kërkon konsolidimin e reformave nëpërmjet 'Strategjisë së rishikuar të Drejtësisë 2024-2030' — dokument specifik politik absent nga drafti i shkurtit. Ndryshimi më i rëndësishëm politik lidhet me sulmet ndaj institucioneve të drejtësisë. Drafti i shkurtit (fq.10) 'nxit Shqipërinë të adresojë efektivisht përpjekjet e zyrtarëve'. Teksti i majit (fq.7) e transformon këtë thelbësisht:</w:t>
      </w:r>
      <w:r w:rsidDel="00000000" w:rsidR="00000000" w:rsidRPr="00000000">
        <w:rPr>
          <w:rtl w:val="0"/>
        </w:rPr>
      </w:r>
    </w:p>
    <w:p w:rsidR="00000000" w:rsidDel="00000000" w:rsidP="00000000" w:rsidRDefault="00000000" w:rsidRPr="00000000" w14:paraId="00000132">
      <w:pPr>
        <w:spacing w:after="80" w:before="80" w:lineRule="auto"/>
        <w:ind w:left="720" w:firstLine="0"/>
        <w:rPr/>
      </w:pPr>
      <w:r w:rsidDel="00000000" w:rsidR="00000000" w:rsidRPr="00000000">
        <w:rPr>
          <w:rFonts w:ascii="Arial" w:cs="Arial" w:eastAsia="Arial" w:hAnsi="Arial"/>
          <w:b w:val="0"/>
          <w:bCs w:val="0"/>
          <w:color w:val="404040"/>
          <w:sz w:val="19"/>
          <w:szCs w:val="19"/>
          <w:rtl w:val="0"/>
        </w:rPr>
        <w:t xml:space="preserve">"BE regreton dhe nxit Shqipërinë të adresojë efektivisht përpjekjet e shtuara dhe shqetësuese të zyrtarëve publikë apo politikanëve, përfshirë nivele të larta, për të ushtruar ndikim të padrejtë mbi institucionet e drejtësisë, përfshirë Strukturën e Posaçme Kundër Korrupsionit dhe Krimit të Organizuar (SPAK)."</w:t>
      </w:r>
      <w:r w:rsidDel="00000000" w:rsidR="00000000" w:rsidRPr="00000000">
        <w:rPr>
          <w:rtl w:val="0"/>
        </w:rPr>
      </w:r>
    </w:p>
    <w:p w:rsidR="00000000" w:rsidDel="00000000" w:rsidP="00000000" w:rsidRDefault="00000000" w:rsidRPr="00000000" w14:paraId="00000133">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Katër përshkallëzime janë të ngulitura: (i) 'regreton'; (ii) 'të shtuara dhe shqetësuese'; (iii) 'nivele të larta'; (iv) SPAK emërohet eksplicit. Kjo është gjuha politikisht më e ashpër në dokument.</w:t>
      </w:r>
      <w:r w:rsidDel="00000000" w:rsidR="00000000" w:rsidRPr="00000000">
        <w:rPr>
          <w:rtl w:val="0"/>
        </w:rPr>
      </w:r>
    </w:p>
    <w:p w:rsidR="00000000" w:rsidDel="00000000" w:rsidP="00000000" w:rsidRDefault="00000000" w:rsidRPr="00000000" w14:paraId="00000134">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5. Anti-Korrupsioni</w:t>
      </w:r>
      <w:r w:rsidDel="00000000" w:rsidR="00000000" w:rsidRPr="00000000">
        <w:rPr>
          <w:rtl w:val="0"/>
        </w:rPr>
      </w:r>
    </w:p>
    <w:p w:rsidR="00000000" w:rsidDel="00000000" w:rsidP="00000000" w:rsidRDefault="00000000" w:rsidRPr="00000000" w14:paraId="00000135">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Karakterizimi i korrupsionit përshkallëzohet nga 'shqetësim serioz' (shkurt, fq.12) në 'shqetësim vendimtar/crucial' (maj, fq.9). Në gjuhën diplomatike të BE, 'crucial' sinjalizon status afër vijës së kuqe.</w:t>
      </w:r>
      <w:r w:rsidDel="00000000" w:rsidR="00000000" w:rsidRPr="00000000">
        <w:rPr>
          <w:rtl w:val="0"/>
        </w:rPr>
      </w:r>
    </w:p>
    <w:p w:rsidR="00000000" w:rsidDel="00000000" w:rsidP="00000000" w:rsidRDefault="00000000" w:rsidRPr="00000000" w14:paraId="00000136">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Teksti i majit (fq.9) shton lavdërim eksplicit të SPAK: 'BE mirëpret rezultatet e mira të arritura deri tani nga SPAK dhe gjykatat e tij, përfshirë rastet e nivelit të lartë.' Ky lavdërim specifik — absent nga drafti i shkurtit — krijon kontrast të qëllimshëm politik me kritikën e ndërhyrjes qeveritare. Gjithashtu, teksti i majit (fq.9) shton kërkesën e re që deklaratat publike mbi hetimet ndaj zyrtarëve dhe deputetëve duhet të respektojnë prezumimin e pafajësisë — kritikë e drejtpërdrejtë implicite ndaj komentimit parlamentar mbi rastet e SPAK.</w:t>
      </w:r>
      <w:r w:rsidDel="00000000" w:rsidR="00000000" w:rsidRPr="00000000">
        <w:rPr>
          <w:rtl w:val="0"/>
        </w:rPr>
      </w:r>
    </w:p>
    <w:p w:rsidR="00000000" w:rsidDel="00000000" w:rsidP="00000000" w:rsidRDefault="00000000" w:rsidRPr="00000000" w14:paraId="00000137">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6. Liria e Shprehjes dhe Media</w:t>
      </w:r>
      <w:r w:rsidDel="00000000" w:rsidR="00000000" w:rsidRPr="00000000">
        <w:rPr>
          <w:rtl w:val="0"/>
        </w:rPr>
      </w:r>
    </w:p>
    <w:p w:rsidR="00000000" w:rsidDel="00000000" w:rsidP="00000000" w:rsidRDefault="00000000" w:rsidRPr="00000000" w14:paraId="00000138">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Teksti i majit forcon dispozitën Anti-SLAPP duke shtuar 'të shpejtë' në thirrjen për 'përafrim të plotë dhe të shpejtë' (fq.11), dhe shton pikë kontakti specifike 'brenda Policisë së Shtetit dhe brenda shërbimeve të prokurorisë' si organe përgjegjëse për sigurinë e gazetarëve — mekanizëm specifik llogaridhënieje absent nga drafti i shkurtit (fq.14).</w:t>
      </w:r>
      <w:r w:rsidDel="00000000" w:rsidR="00000000" w:rsidRPr="00000000">
        <w:rPr>
          <w:rtl w:val="0"/>
        </w:rPr>
      </w:r>
    </w:p>
    <w:p w:rsidR="00000000" w:rsidDel="00000000" w:rsidP="00000000" w:rsidRDefault="00000000" w:rsidRPr="00000000" w14:paraId="00000139">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7. E Drejta e Pronës</w:t>
      </w:r>
      <w:r w:rsidDel="00000000" w:rsidR="00000000" w:rsidRPr="00000000">
        <w:rPr>
          <w:rtl w:val="0"/>
        </w:rPr>
      </w:r>
    </w:p>
    <w:p w:rsidR="00000000" w:rsidDel="00000000" w:rsidP="00000000" w:rsidRDefault="00000000" w:rsidRPr="00000000" w14:paraId="0000013A">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Teksti i majit prezanton tri shtime substanciale. Së pari (fq.13), thekson 'ndikimin disproporcional në zonat ku banojnë pakica kombëtare, në zona me vlerë të lartë ekonomike dhe në zona bregdetare' — deklaratë krejtësisht e re që lidh dështimet e regjistrimit me padrejtësinë ndaj pakicave dhe abuzimin bregdetar. Së dyti (fq.13), shton afatin Q2 2027 si pikë monitorimi ndërmjetëse. Së treti (fq.14), kërkon 'kompensime të drejta' për shpronësimet e bëra 'në emër të interesit publik' — i drejtohet drejtpërdrejt abuzimeve të dokumentuara.</w:t>
      </w:r>
      <w:r w:rsidDel="00000000" w:rsidR="00000000" w:rsidRPr="00000000">
        <w:rPr>
          <w:rtl w:val="0"/>
        </w:rPr>
      </w:r>
    </w:p>
    <w:p w:rsidR="00000000" w:rsidDel="00000000" w:rsidP="00000000" w:rsidRDefault="00000000" w:rsidRPr="00000000" w14:paraId="0000013B">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8. Pakicat Kombëtare</w:t>
      </w:r>
      <w:r w:rsidDel="00000000" w:rsidR="00000000" w:rsidRPr="00000000">
        <w:rPr>
          <w:rtl w:val="0"/>
        </w:rPr>
      </w:r>
    </w:p>
    <w:p w:rsidR="00000000" w:rsidDel="00000000" w:rsidP="00000000" w:rsidRDefault="00000000" w:rsidRPr="00000000" w14:paraId="0000013C">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Dy shtime janë politikisht domethënëse: (1) Kërkohet garantimi i arsimit në gjuhët e pakicave 'pa interpretime tepër strikte të pragut të popullsisë' (fq.14) — adresues i mosmarrëveshjeve konkrete aktuale; (2) kërkohet respektimi i kuadrit ligjor mbi pakicat 'në kuadër të çdo reforme zgjedhore dhe administrative' (fq.14) — sinjal shqetësimi se reformat e planifikuara mund të dëmtojnë të drejtat e pakicave.</w:t>
      </w:r>
      <w:r w:rsidDel="00000000" w:rsidR="00000000" w:rsidRPr="00000000">
        <w:rPr>
          <w:rtl w:val="0"/>
        </w:rPr>
      </w:r>
    </w:p>
    <w:p w:rsidR="00000000" w:rsidDel="00000000" w:rsidP="00000000" w:rsidRDefault="00000000" w:rsidRPr="00000000" w14:paraId="0000013D">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9. Kapitulli 24 – Drejtësia, Liria dhe Siguria</w:t>
      </w:r>
      <w:r w:rsidDel="00000000" w:rsidR="00000000" w:rsidRPr="00000000">
        <w:rPr>
          <w:rtl w:val="0"/>
        </w:rPr>
      </w:r>
    </w:p>
    <w:p w:rsidR="00000000" w:rsidDel="00000000" w:rsidP="00000000" w:rsidRDefault="00000000" w:rsidRPr="00000000" w14:paraId="0000013E">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Teksti i majit zëvendëson 'përpjekje të mëtejshme' mbi integritetin e policisë me 'hapa vendimtarë dhe të qëndrueshëm', duke specifikuar 'kontrolle të vazhdueshme dhe të plota nga Agjencia e Mbikëqyrjes', 'adresimin e numrit të lartë të rotacioneve' dhe emërime meritokratike (fq.15). Gjithashtu, gjuha mbi FATF përshkallëzohet nga 'thekson rëndësinë' në 'nxit Shqipërinë të sigurojë' (fq.16).</w:t>
      </w:r>
      <w:r w:rsidDel="00000000" w:rsidR="00000000" w:rsidRPr="00000000">
        <w:rPr>
          <w:rtl w:val="0"/>
        </w:rPr>
      </w:r>
    </w:p>
    <w:p w:rsidR="00000000" w:rsidDel="00000000" w:rsidP="00000000" w:rsidRDefault="00000000" w:rsidRPr="00000000" w14:paraId="0000013F">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10. Kriteret Ekonomike</w:t>
      </w:r>
      <w:r w:rsidDel="00000000" w:rsidR="00000000" w:rsidRPr="00000000">
        <w:rPr>
          <w:rtl w:val="0"/>
        </w:rPr>
      </w:r>
    </w:p>
    <w:p w:rsidR="00000000" w:rsidDel="00000000" w:rsidP="00000000" w:rsidRDefault="00000000" w:rsidRPr="00000000" w14:paraId="00000140">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Teksti i majit (fq.22) emëron specifikisht 'vështirësi me zbatimin e ligjit të kontratave, të drejtave të pronës... mangësi në transparencën e ndërmarrjeve shtetërore' si kufizime të vazhdueshme. Më rëndësi, shton paragraf krejtësisht të ri (fq.22) mbi 'çrregullimet ekzistuese në sektorët e pasurive të paluajtshme dhe industrisë së ndërtimit si pasojë e korrupsionit, titujve të paplotë, dobësive ligjore dhe transaksioneve jo-financiare.'</w:t>
      </w:r>
      <w:r w:rsidDel="00000000" w:rsidR="00000000" w:rsidRPr="00000000">
        <w:rPr>
          <w:rtl w:val="0"/>
        </w:rPr>
      </w:r>
    </w:p>
    <w:p w:rsidR="00000000" w:rsidDel="00000000" w:rsidP="00000000" w:rsidRDefault="00000000" w:rsidRPr="00000000" w14:paraId="00000141">
      <w:pPr>
        <w:pStyle w:val="Heading2"/>
        <w:spacing w:after="80" w:before="160" w:lineRule="auto"/>
        <w:jc w:val="left"/>
        <w:rPr/>
      </w:pPr>
      <w:r w:rsidDel="00000000" w:rsidR="00000000" w:rsidRPr="00000000">
        <w:rPr>
          <w:rFonts w:ascii="Arial" w:cs="Arial" w:eastAsia="Arial" w:hAnsi="Arial"/>
          <w:b w:val="1"/>
          <w:bCs w:val="1"/>
          <w:color w:val="2e75b6"/>
          <w:sz w:val="22"/>
          <w:szCs w:val="22"/>
          <w:rtl w:val="0"/>
        </w:rPr>
        <w:t xml:space="preserve">11. Benchmarks Mbyllëse – Ndryshimet Kryesore</w:t>
      </w:r>
      <w:r w:rsidDel="00000000" w:rsidR="00000000" w:rsidRPr="00000000">
        <w:rPr>
          <w:rtl w:val="0"/>
        </w:rPr>
      </w:r>
    </w:p>
    <w:p w:rsidR="00000000" w:rsidDel="00000000" w:rsidP="00000000" w:rsidRDefault="00000000" w:rsidRPr="00000000" w14:paraId="00000142">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Teksti i majit forconi benchmarks mbyllëse gjatë gjithë kapitujve. Benchmark horizontale (fq.23) shton 'monitorim të aksesueshëm nga publiku' dhe zgjeron dialogun tek 'të gjitha palët'. Benchmark e drejtësisë (fq.24) shton zbatimin e vendimeve të Gjykatës Kushtetuese dhe standardet e Komisionit të Venecias mbi imunitetin si kushte formale mbyllëse. Benchmark anti-korrupsion (fq.25-26) emëron SPAK si destinacion kryesor referimesh. Benchmark e pronës (fq.27) shton vendimet e GJEDNJ, procesin e rregullt në shpronësime, dhe identifikon 'moszbatim i zgjatur' si dështim sistemik. Benchmark ekonomike (fq.31) zgjerohet nga një rresht i vetëm në kushte të shumëfishta specifike.</w:t>
      </w:r>
      <w:r w:rsidDel="00000000" w:rsidR="00000000" w:rsidRPr="00000000">
        <w:rPr>
          <w:rtl w:val="0"/>
        </w:rPr>
      </w:r>
    </w:p>
    <w:p w:rsidR="00000000" w:rsidDel="00000000" w:rsidP="00000000" w:rsidRDefault="00000000" w:rsidRPr="00000000" w14:paraId="00000143">
      <w:pPr>
        <w:spacing w:after="100" w:before="200" w:lineRule="auto"/>
        <w:jc w:val="center"/>
        <w:rPr/>
      </w:pPr>
      <w:r w:rsidDel="00000000" w:rsidR="00000000" w:rsidRPr="00000000">
        <w:rPr>
          <w:rFonts w:ascii="Arial" w:cs="Arial" w:eastAsia="Arial" w:hAnsi="Arial"/>
          <w:b w:val="0"/>
          <w:bCs w:val="0"/>
          <w:color w:val="aaaaaa"/>
          <w:sz w:val="16"/>
          <w:szCs w:val="16"/>
          <w:rtl w:val="0"/>
        </w:rPr>
        <w:t xml:space="preserve">─────────────────────────────────────────────────────────────────────</w:t>
      </w:r>
      <w:r w:rsidDel="00000000" w:rsidR="00000000" w:rsidRPr="00000000">
        <w:rPr>
          <w:rtl w:val="0"/>
        </w:rPr>
      </w:r>
    </w:p>
    <w:p w:rsidR="00000000" w:rsidDel="00000000" w:rsidP="00000000" w:rsidRDefault="00000000" w:rsidRPr="00000000" w14:paraId="00000144">
      <w:pPr>
        <w:spacing w:after="80" w:before="80" w:lineRule="auto"/>
        <w:jc w:val="left"/>
        <w:rPr/>
      </w:pPr>
      <w:r w:rsidDel="00000000" w:rsidR="00000000" w:rsidRPr="00000000">
        <w:rPr>
          <w:rFonts w:ascii="Arial" w:cs="Arial" w:eastAsia="Arial" w:hAnsi="Arial"/>
          <w:b w:val="0"/>
          <w:bCs w:val="0"/>
          <w:color w:val="000000"/>
          <w:sz w:val="20"/>
          <w:szCs w:val="20"/>
          <w:rtl w:val="0"/>
        </w:rPr>
        <w:t xml:space="preserve">Dokument i përgatitur: 21 maj 2026  |  Burimet: Dok. Këshill BE 6819/26 (26 shkurt 2026) dhe WK 4322/2026 REV 6 (21 maj 2026)</w:t>
      </w:r>
      <w:r w:rsidDel="00000000" w:rsidR="00000000" w:rsidRPr="00000000">
        <w:rPr>
          <w:rtl w:val="0"/>
        </w:rPr>
      </w:r>
    </w:p>
    <w:sectPr>
      <w:type w:val="nextPage"/>
      <w:pgSz w:h="16838" w:w="11906"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Arial" w:cs="Arial" w:eastAsia="Arial" w:hAnsi="Arial"/>
      <w:b w:val="1"/>
      <w:bCs w:val="1"/>
      <w:i w:val="0"/>
      <w:iCs w:val="0"/>
      <w:smallCaps w:val="0"/>
      <w:strike w:val="0"/>
      <w:color w:val="1f3864"/>
      <w:sz w:val="28"/>
      <w:szCs w:val="28"/>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160" w:line="240" w:lineRule="auto"/>
      <w:ind w:left="0" w:right="0" w:firstLine="0"/>
      <w:jc w:val="left"/>
    </w:pPr>
    <w:rPr>
      <w:rFonts w:ascii="Arial" w:cs="Arial" w:eastAsia="Arial" w:hAnsi="Arial"/>
      <w:b w:val="1"/>
      <w:bCs w:val="1"/>
      <w:i w:val="0"/>
      <w:iCs w:val="0"/>
      <w:smallCaps w:val="0"/>
      <w:strike w:val="0"/>
      <w:color w:val="2e75b6"/>
      <w:sz w:val="22"/>
      <w:szCs w:val="22"/>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